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ED33" w14:textId="77777777" w:rsidR="004C6835" w:rsidRPr="00000176" w:rsidRDefault="00465BEE" w:rsidP="00000176">
      <w:pPr>
        <w:spacing w:after="120"/>
        <w:jc w:val="center"/>
        <w:rPr>
          <w:rFonts w:ascii="Times New Roman" w:hAnsi="Times New Roman" w:cs="Times New Roman"/>
          <w:b/>
          <w:sz w:val="24"/>
          <w:szCs w:val="24"/>
        </w:rPr>
      </w:pPr>
      <w:bookmarkStart w:id="0" w:name="AC"/>
      <w:r w:rsidRPr="00000176">
        <w:rPr>
          <w:rFonts w:ascii="Times New Roman" w:hAnsi="Times New Roman" w:cs="Times New Roman"/>
          <w:b/>
          <w:sz w:val="24"/>
          <w:szCs w:val="24"/>
        </w:rPr>
        <w:t>Article 2a</w:t>
      </w:r>
    </w:p>
    <w:p w14:paraId="3FE0A108" w14:textId="77777777" w:rsidR="004D4B49" w:rsidRPr="00000176" w:rsidRDefault="00465BEE" w:rsidP="00000176">
      <w:pPr>
        <w:spacing w:after="120"/>
        <w:jc w:val="center"/>
        <w:rPr>
          <w:rFonts w:ascii="Times New Roman" w:hAnsi="Times New Roman" w:cs="Times New Roman"/>
          <w:b/>
          <w:sz w:val="24"/>
          <w:szCs w:val="24"/>
        </w:rPr>
      </w:pPr>
      <w:r w:rsidRPr="00000176">
        <w:rPr>
          <w:rFonts w:ascii="Times New Roman" w:hAnsi="Times New Roman" w:cs="Times New Roman"/>
          <w:b/>
          <w:sz w:val="24"/>
          <w:szCs w:val="24"/>
        </w:rPr>
        <w:t>Long-term Renovation Strategies</w:t>
      </w:r>
    </w:p>
    <w:p w14:paraId="1866823A" w14:textId="77777777" w:rsidR="00BC487C" w:rsidRDefault="004D4B49">
      <w:pPr>
        <w:pStyle w:val="TOC1"/>
        <w:tabs>
          <w:tab w:val="left" w:pos="440"/>
          <w:tab w:val="right" w:leader="dot" w:pos="9016"/>
        </w:tabs>
        <w:rPr>
          <w:rFonts w:eastAsiaTheme="minorEastAsia"/>
          <w:noProof/>
          <w:lang w:eastAsia="en-GB"/>
        </w:rPr>
      </w:pPr>
      <w:r w:rsidRPr="001122B7">
        <w:rPr>
          <w:rFonts w:ascii="Times New Roman" w:hAnsi="Times New Roman" w:cs="Times New Roman"/>
          <w:b/>
          <w:sz w:val="24"/>
          <w:szCs w:val="24"/>
        </w:rPr>
        <w:fldChar w:fldCharType="begin"/>
      </w:r>
      <w:r w:rsidRPr="001122B7">
        <w:rPr>
          <w:rFonts w:ascii="Times New Roman" w:hAnsi="Times New Roman" w:cs="Times New Roman"/>
          <w:b/>
          <w:sz w:val="24"/>
          <w:szCs w:val="24"/>
        </w:rPr>
        <w:instrText xml:space="preserve"> TOC \o "1-4" \h \z \u </w:instrText>
      </w:r>
      <w:r w:rsidRPr="001122B7">
        <w:rPr>
          <w:rFonts w:ascii="Times New Roman" w:hAnsi="Times New Roman" w:cs="Times New Roman"/>
          <w:b/>
          <w:sz w:val="24"/>
          <w:szCs w:val="24"/>
        </w:rPr>
        <w:fldChar w:fldCharType="separate"/>
      </w:r>
      <w:hyperlink w:anchor="_Toc524340581" w:history="1">
        <w:r w:rsidR="00BC487C" w:rsidRPr="009520F1">
          <w:rPr>
            <w:rStyle w:val="Hyperlink"/>
            <w:noProof/>
          </w:rPr>
          <w:t>1.</w:t>
        </w:r>
        <w:r w:rsidR="00BC487C">
          <w:rPr>
            <w:rFonts w:eastAsiaTheme="minorEastAsia"/>
            <w:noProof/>
            <w:lang w:eastAsia="en-GB"/>
          </w:rPr>
          <w:tab/>
        </w:r>
        <w:r w:rsidR="00BC487C" w:rsidRPr="009520F1">
          <w:rPr>
            <w:rStyle w:val="Hyperlink"/>
            <w:noProof/>
          </w:rPr>
          <w:t>INTRODUCTION</w:t>
        </w:r>
        <w:r w:rsidR="00BC487C">
          <w:rPr>
            <w:noProof/>
            <w:webHidden/>
          </w:rPr>
          <w:tab/>
        </w:r>
        <w:r w:rsidR="00BC487C">
          <w:rPr>
            <w:noProof/>
            <w:webHidden/>
          </w:rPr>
          <w:fldChar w:fldCharType="begin"/>
        </w:r>
        <w:r w:rsidR="00BC487C">
          <w:rPr>
            <w:noProof/>
            <w:webHidden/>
          </w:rPr>
          <w:instrText xml:space="preserve"> PAGEREF _Toc524340581 \h </w:instrText>
        </w:r>
        <w:r w:rsidR="00BC487C">
          <w:rPr>
            <w:noProof/>
            <w:webHidden/>
          </w:rPr>
        </w:r>
        <w:r w:rsidR="00BC487C">
          <w:rPr>
            <w:noProof/>
            <w:webHidden/>
          </w:rPr>
          <w:fldChar w:fldCharType="separate"/>
        </w:r>
        <w:r w:rsidR="007277F5">
          <w:rPr>
            <w:noProof/>
            <w:webHidden/>
          </w:rPr>
          <w:t>3</w:t>
        </w:r>
        <w:r w:rsidR="00BC487C">
          <w:rPr>
            <w:noProof/>
            <w:webHidden/>
          </w:rPr>
          <w:fldChar w:fldCharType="end"/>
        </w:r>
      </w:hyperlink>
    </w:p>
    <w:p w14:paraId="2F9EA55E" w14:textId="77777777" w:rsidR="00BC487C" w:rsidRDefault="00CF3EC9">
      <w:pPr>
        <w:pStyle w:val="TOC1"/>
        <w:tabs>
          <w:tab w:val="left" w:pos="440"/>
          <w:tab w:val="right" w:leader="dot" w:pos="9016"/>
        </w:tabs>
        <w:rPr>
          <w:rFonts w:eastAsiaTheme="minorEastAsia"/>
          <w:noProof/>
          <w:lang w:eastAsia="en-GB"/>
        </w:rPr>
      </w:pPr>
      <w:hyperlink w:anchor="_Toc524340582" w:history="1">
        <w:r w:rsidR="00BC487C" w:rsidRPr="009520F1">
          <w:rPr>
            <w:rStyle w:val="Hyperlink"/>
            <w:noProof/>
          </w:rPr>
          <w:t>2.</w:t>
        </w:r>
        <w:r w:rsidR="00BC487C">
          <w:rPr>
            <w:rFonts w:eastAsiaTheme="minorEastAsia"/>
            <w:noProof/>
            <w:lang w:eastAsia="en-GB"/>
          </w:rPr>
          <w:tab/>
        </w:r>
        <w:r w:rsidR="00BC487C" w:rsidRPr="009520F1">
          <w:rPr>
            <w:rStyle w:val="Hyperlink"/>
            <w:noProof/>
          </w:rPr>
          <w:t>SCOPE</w:t>
        </w:r>
        <w:r w:rsidR="00BC487C">
          <w:rPr>
            <w:noProof/>
            <w:webHidden/>
          </w:rPr>
          <w:tab/>
        </w:r>
        <w:r w:rsidR="00BC487C">
          <w:rPr>
            <w:noProof/>
            <w:webHidden/>
          </w:rPr>
          <w:fldChar w:fldCharType="begin"/>
        </w:r>
        <w:r w:rsidR="00BC487C">
          <w:rPr>
            <w:noProof/>
            <w:webHidden/>
          </w:rPr>
          <w:instrText xml:space="preserve"> PAGEREF _Toc524340582 \h </w:instrText>
        </w:r>
        <w:r w:rsidR="00BC487C">
          <w:rPr>
            <w:noProof/>
            <w:webHidden/>
          </w:rPr>
        </w:r>
        <w:r w:rsidR="00BC487C">
          <w:rPr>
            <w:noProof/>
            <w:webHidden/>
          </w:rPr>
          <w:fldChar w:fldCharType="separate"/>
        </w:r>
        <w:r w:rsidR="007277F5">
          <w:rPr>
            <w:noProof/>
            <w:webHidden/>
          </w:rPr>
          <w:t>4</w:t>
        </w:r>
        <w:r w:rsidR="00BC487C">
          <w:rPr>
            <w:noProof/>
            <w:webHidden/>
          </w:rPr>
          <w:fldChar w:fldCharType="end"/>
        </w:r>
      </w:hyperlink>
    </w:p>
    <w:p w14:paraId="743AC6C2" w14:textId="77777777" w:rsidR="00BC487C" w:rsidRDefault="00CF3EC9">
      <w:pPr>
        <w:pStyle w:val="TOC1"/>
        <w:tabs>
          <w:tab w:val="left" w:pos="440"/>
          <w:tab w:val="right" w:leader="dot" w:pos="9016"/>
        </w:tabs>
        <w:rPr>
          <w:rFonts w:eastAsiaTheme="minorEastAsia"/>
          <w:noProof/>
          <w:lang w:eastAsia="en-GB"/>
        </w:rPr>
      </w:pPr>
      <w:hyperlink w:anchor="_Toc524340583" w:history="1">
        <w:r w:rsidR="00BC487C" w:rsidRPr="009520F1">
          <w:rPr>
            <w:rStyle w:val="Hyperlink"/>
            <w:noProof/>
          </w:rPr>
          <w:t>3.</w:t>
        </w:r>
        <w:r w:rsidR="00BC487C">
          <w:rPr>
            <w:rFonts w:eastAsiaTheme="minorEastAsia"/>
            <w:noProof/>
            <w:lang w:eastAsia="en-GB"/>
          </w:rPr>
          <w:tab/>
        </w:r>
        <w:r w:rsidR="00BC487C" w:rsidRPr="009520F1">
          <w:rPr>
            <w:rStyle w:val="Hyperlink"/>
            <w:noProof/>
          </w:rPr>
          <w:t>OBLIGATION TO ESTABLISH A COMPREHENSIVE STRATEGY TO ACHIEVE A HIGHLY DECARBONISED BUILDING STOCK BY 2050</w:t>
        </w:r>
        <w:r w:rsidR="00BC487C">
          <w:rPr>
            <w:noProof/>
            <w:webHidden/>
          </w:rPr>
          <w:tab/>
        </w:r>
        <w:r w:rsidR="00BC487C">
          <w:rPr>
            <w:noProof/>
            <w:webHidden/>
          </w:rPr>
          <w:fldChar w:fldCharType="begin"/>
        </w:r>
        <w:r w:rsidR="00BC487C">
          <w:rPr>
            <w:noProof/>
            <w:webHidden/>
          </w:rPr>
          <w:instrText xml:space="preserve"> PAGEREF _Toc524340583 \h </w:instrText>
        </w:r>
        <w:r w:rsidR="00BC487C">
          <w:rPr>
            <w:noProof/>
            <w:webHidden/>
          </w:rPr>
        </w:r>
        <w:r w:rsidR="00BC487C">
          <w:rPr>
            <w:noProof/>
            <w:webHidden/>
          </w:rPr>
          <w:fldChar w:fldCharType="separate"/>
        </w:r>
        <w:r w:rsidR="007277F5">
          <w:rPr>
            <w:noProof/>
            <w:webHidden/>
          </w:rPr>
          <w:t>5</w:t>
        </w:r>
        <w:r w:rsidR="00BC487C">
          <w:rPr>
            <w:noProof/>
            <w:webHidden/>
          </w:rPr>
          <w:fldChar w:fldCharType="end"/>
        </w:r>
      </w:hyperlink>
    </w:p>
    <w:p w14:paraId="0DE808D9" w14:textId="77777777" w:rsidR="00BC487C" w:rsidRDefault="00CF3EC9">
      <w:pPr>
        <w:pStyle w:val="TOC2"/>
        <w:tabs>
          <w:tab w:val="left" w:pos="880"/>
          <w:tab w:val="right" w:leader="dot" w:pos="9016"/>
        </w:tabs>
        <w:rPr>
          <w:rFonts w:eastAsiaTheme="minorEastAsia"/>
          <w:noProof/>
          <w:lang w:eastAsia="en-GB"/>
        </w:rPr>
      </w:pPr>
      <w:hyperlink w:anchor="_Toc524340584" w:history="1">
        <w:r w:rsidR="00BC487C" w:rsidRPr="009520F1">
          <w:rPr>
            <w:rStyle w:val="Hyperlink"/>
            <w:noProof/>
          </w:rPr>
          <w:t>3.1.</w:t>
        </w:r>
        <w:r w:rsidR="00BC487C">
          <w:rPr>
            <w:rFonts w:eastAsiaTheme="minorEastAsia"/>
            <w:noProof/>
            <w:lang w:eastAsia="en-GB"/>
          </w:rPr>
          <w:tab/>
        </w:r>
        <w:r w:rsidR="00BC487C" w:rsidRPr="009520F1">
          <w:rPr>
            <w:rStyle w:val="Hyperlink"/>
            <w:noProof/>
          </w:rPr>
          <w:t>Mandatory elements of the LTRS</w:t>
        </w:r>
        <w:r w:rsidR="00BC487C">
          <w:rPr>
            <w:noProof/>
            <w:webHidden/>
          </w:rPr>
          <w:tab/>
        </w:r>
        <w:r w:rsidR="00BC487C">
          <w:rPr>
            <w:noProof/>
            <w:webHidden/>
          </w:rPr>
          <w:fldChar w:fldCharType="begin"/>
        </w:r>
        <w:r w:rsidR="00BC487C">
          <w:rPr>
            <w:noProof/>
            <w:webHidden/>
          </w:rPr>
          <w:instrText xml:space="preserve"> PAGEREF _Toc524340584 \h </w:instrText>
        </w:r>
        <w:r w:rsidR="00BC487C">
          <w:rPr>
            <w:noProof/>
            <w:webHidden/>
          </w:rPr>
        </w:r>
        <w:r w:rsidR="00BC487C">
          <w:rPr>
            <w:noProof/>
            <w:webHidden/>
          </w:rPr>
          <w:fldChar w:fldCharType="separate"/>
        </w:r>
        <w:r w:rsidR="007277F5">
          <w:rPr>
            <w:noProof/>
            <w:webHidden/>
          </w:rPr>
          <w:t>5</w:t>
        </w:r>
        <w:r w:rsidR="00BC487C">
          <w:rPr>
            <w:noProof/>
            <w:webHidden/>
          </w:rPr>
          <w:fldChar w:fldCharType="end"/>
        </w:r>
      </w:hyperlink>
    </w:p>
    <w:p w14:paraId="19A836CA" w14:textId="77777777" w:rsidR="00BC487C" w:rsidRDefault="00CF3EC9">
      <w:pPr>
        <w:pStyle w:val="TOC3"/>
        <w:tabs>
          <w:tab w:val="left" w:pos="1320"/>
          <w:tab w:val="right" w:leader="dot" w:pos="9016"/>
        </w:tabs>
        <w:rPr>
          <w:rFonts w:eastAsiaTheme="minorEastAsia"/>
          <w:noProof/>
          <w:lang w:eastAsia="en-GB"/>
        </w:rPr>
      </w:pPr>
      <w:hyperlink w:anchor="_Toc524340585" w:history="1">
        <w:r w:rsidR="00BC487C" w:rsidRPr="009520F1">
          <w:rPr>
            <w:rStyle w:val="Hyperlink"/>
            <w:noProof/>
          </w:rPr>
          <w:t>3.1.1.</w:t>
        </w:r>
        <w:r w:rsidR="00BC487C">
          <w:rPr>
            <w:rFonts w:eastAsiaTheme="minorEastAsia"/>
            <w:noProof/>
            <w:lang w:eastAsia="en-GB"/>
          </w:rPr>
          <w:tab/>
        </w:r>
        <w:r w:rsidR="00BC487C" w:rsidRPr="009520F1">
          <w:rPr>
            <w:rStyle w:val="Hyperlink"/>
            <w:noProof/>
          </w:rPr>
          <w:t>Overview of the national building stock (Article 2a(1)(a))</w:t>
        </w:r>
        <w:r w:rsidR="00BC487C">
          <w:rPr>
            <w:noProof/>
            <w:webHidden/>
          </w:rPr>
          <w:tab/>
        </w:r>
        <w:r w:rsidR="00BC487C">
          <w:rPr>
            <w:noProof/>
            <w:webHidden/>
          </w:rPr>
          <w:fldChar w:fldCharType="begin"/>
        </w:r>
        <w:r w:rsidR="00BC487C">
          <w:rPr>
            <w:noProof/>
            <w:webHidden/>
          </w:rPr>
          <w:instrText xml:space="preserve"> PAGEREF _Toc524340585 \h </w:instrText>
        </w:r>
        <w:r w:rsidR="00BC487C">
          <w:rPr>
            <w:noProof/>
            <w:webHidden/>
          </w:rPr>
        </w:r>
        <w:r w:rsidR="00BC487C">
          <w:rPr>
            <w:noProof/>
            <w:webHidden/>
          </w:rPr>
          <w:fldChar w:fldCharType="separate"/>
        </w:r>
        <w:r w:rsidR="007277F5">
          <w:rPr>
            <w:noProof/>
            <w:webHidden/>
          </w:rPr>
          <w:t>5</w:t>
        </w:r>
        <w:r w:rsidR="00BC487C">
          <w:rPr>
            <w:noProof/>
            <w:webHidden/>
          </w:rPr>
          <w:fldChar w:fldCharType="end"/>
        </w:r>
      </w:hyperlink>
    </w:p>
    <w:p w14:paraId="654AA192" w14:textId="77777777" w:rsidR="00BC487C" w:rsidRDefault="00CF3EC9">
      <w:pPr>
        <w:pStyle w:val="TOC3"/>
        <w:tabs>
          <w:tab w:val="left" w:pos="1320"/>
          <w:tab w:val="right" w:leader="dot" w:pos="9016"/>
        </w:tabs>
        <w:rPr>
          <w:rFonts w:eastAsiaTheme="minorEastAsia"/>
          <w:noProof/>
          <w:lang w:eastAsia="en-GB"/>
        </w:rPr>
      </w:pPr>
      <w:hyperlink w:anchor="_Toc524340586" w:history="1">
        <w:r w:rsidR="00BC487C" w:rsidRPr="009520F1">
          <w:rPr>
            <w:rStyle w:val="Hyperlink"/>
            <w:noProof/>
          </w:rPr>
          <w:t>3.1.2.</w:t>
        </w:r>
        <w:r w:rsidR="00BC487C">
          <w:rPr>
            <w:rFonts w:eastAsiaTheme="minorEastAsia"/>
            <w:noProof/>
            <w:lang w:eastAsia="en-GB"/>
          </w:rPr>
          <w:tab/>
        </w:r>
        <w:r w:rsidR="00BC487C" w:rsidRPr="009520F1">
          <w:rPr>
            <w:rStyle w:val="Hyperlink"/>
            <w:noProof/>
          </w:rPr>
          <w:t>Cost effective approaches to renovation (Article 2a(1)(b))</w:t>
        </w:r>
        <w:r w:rsidR="00BC487C">
          <w:rPr>
            <w:noProof/>
            <w:webHidden/>
          </w:rPr>
          <w:tab/>
        </w:r>
        <w:r w:rsidR="00BC487C">
          <w:rPr>
            <w:noProof/>
            <w:webHidden/>
          </w:rPr>
          <w:fldChar w:fldCharType="begin"/>
        </w:r>
        <w:r w:rsidR="00BC487C">
          <w:rPr>
            <w:noProof/>
            <w:webHidden/>
          </w:rPr>
          <w:instrText xml:space="preserve"> PAGEREF _Toc524340586 \h </w:instrText>
        </w:r>
        <w:r w:rsidR="00BC487C">
          <w:rPr>
            <w:noProof/>
            <w:webHidden/>
          </w:rPr>
        </w:r>
        <w:r w:rsidR="00BC487C">
          <w:rPr>
            <w:noProof/>
            <w:webHidden/>
          </w:rPr>
          <w:fldChar w:fldCharType="separate"/>
        </w:r>
        <w:r w:rsidR="007277F5">
          <w:rPr>
            <w:noProof/>
            <w:webHidden/>
          </w:rPr>
          <w:t>5</w:t>
        </w:r>
        <w:r w:rsidR="00BC487C">
          <w:rPr>
            <w:noProof/>
            <w:webHidden/>
          </w:rPr>
          <w:fldChar w:fldCharType="end"/>
        </w:r>
      </w:hyperlink>
    </w:p>
    <w:p w14:paraId="7B255519" w14:textId="77777777" w:rsidR="00BC487C" w:rsidRDefault="00CF3EC9">
      <w:pPr>
        <w:pStyle w:val="TOC3"/>
        <w:tabs>
          <w:tab w:val="left" w:pos="1320"/>
          <w:tab w:val="right" w:leader="dot" w:pos="9016"/>
        </w:tabs>
        <w:rPr>
          <w:rFonts w:eastAsiaTheme="minorEastAsia"/>
          <w:noProof/>
          <w:lang w:eastAsia="en-GB"/>
        </w:rPr>
      </w:pPr>
      <w:hyperlink w:anchor="_Toc524340587" w:history="1">
        <w:r w:rsidR="00BC487C" w:rsidRPr="009520F1">
          <w:rPr>
            <w:rStyle w:val="Hyperlink"/>
            <w:noProof/>
          </w:rPr>
          <w:t>3.1.3.</w:t>
        </w:r>
        <w:r w:rsidR="00BC487C">
          <w:rPr>
            <w:rFonts w:eastAsiaTheme="minorEastAsia"/>
            <w:noProof/>
            <w:lang w:eastAsia="en-GB"/>
          </w:rPr>
          <w:tab/>
        </w:r>
        <w:r w:rsidR="00BC487C" w:rsidRPr="009520F1">
          <w:rPr>
            <w:rStyle w:val="Hyperlink"/>
            <w:noProof/>
          </w:rPr>
          <w:t>Policies and actions towards deep renovation  (Article 2a(1)(c))</w:t>
        </w:r>
        <w:r w:rsidR="00BC487C">
          <w:rPr>
            <w:noProof/>
            <w:webHidden/>
          </w:rPr>
          <w:tab/>
        </w:r>
        <w:r w:rsidR="00BC487C">
          <w:rPr>
            <w:noProof/>
            <w:webHidden/>
          </w:rPr>
          <w:fldChar w:fldCharType="begin"/>
        </w:r>
        <w:r w:rsidR="00BC487C">
          <w:rPr>
            <w:noProof/>
            <w:webHidden/>
          </w:rPr>
          <w:instrText xml:space="preserve"> PAGEREF _Toc524340587 \h </w:instrText>
        </w:r>
        <w:r w:rsidR="00BC487C">
          <w:rPr>
            <w:noProof/>
            <w:webHidden/>
          </w:rPr>
        </w:r>
        <w:r w:rsidR="00BC487C">
          <w:rPr>
            <w:noProof/>
            <w:webHidden/>
          </w:rPr>
          <w:fldChar w:fldCharType="separate"/>
        </w:r>
        <w:r w:rsidR="007277F5">
          <w:rPr>
            <w:noProof/>
            <w:webHidden/>
          </w:rPr>
          <w:t>6</w:t>
        </w:r>
        <w:r w:rsidR="00BC487C">
          <w:rPr>
            <w:noProof/>
            <w:webHidden/>
          </w:rPr>
          <w:fldChar w:fldCharType="end"/>
        </w:r>
      </w:hyperlink>
    </w:p>
    <w:p w14:paraId="623E91F9" w14:textId="579EF3B1" w:rsidR="00BC487C" w:rsidRDefault="00CF3EC9">
      <w:pPr>
        <w:pStyle w:val="TOC3"/>
        <w:tabs>
          <w:tab w:val="left" w:pos="1320"/>
          <w:tab w:val="right" w:leader="dot" w:pos="9016"/>
        </w:tabs>
        <w:rPr>
          <w:rFonts w:eastAsiaTheme="minorEastAsia"/>
          <w:noProof/>
          <w:lang w:eastAsia="en-GB"/>
        </w:rPr>
      </w:pPr>
      <w:hyperlink w:anchor="_Toc524340588" w:history="1">
        <w:r w:rsidR="00BC487C" w:rsidRPr="009520F1">
          <w:rPr>
            <w:rStyle w:val="Hyperlink"/>
            <w:noProof/>
          </w:rPr>
          <w:t>3.1.4.</w:t>
        </w:r>
        <w:r w:rsidR="00BC487C">
          <w:rPr>
            <w:rFonts w:eastAsiaTheme="minorEastAsia"/>
            <w:noProof/>
            <w:lang w:eastAsia="en-GB"/>
          </w:rPr>
          <w:tab/>
        </w:r>
        <w:r w:rsidR="00BC487C" w:rsidRPr="009520F1">
          <w:rPr>
            <w:rStyle w:val="Hyperlink"/>
            <w:noProof/>
          </w:rPr>
          <w:t>Policies and actions towards worst-performing buildings and energy poverty  (Article 2a(1)(d))</w:t>
        </w:r>
        <w:r w:rsidR="00BC487C">
          <w:rPr>
            <w:noProof/>
            <w:webHidden/>
          </w:rPr>
          <w:tab/>
        </w:r>
        <w:r w:rsidR="0056380C">
          <w:rPr>
            <w:noProof/>
            <w:webHidden/>
          </w:rPr>
          <w:tab/>
        </w:r>
        <w:r w:rsidR="00BC487C">
          <w:rPr>
            <w:noProof/>
            <w:webHidden/>
          </w:rPr>
          <w:fldChar w:fldCharType="begin"/>
        </w:r>
        <w:r w:rsidR="00BC487C">
          <w:rPr>
            <w:noProof/>
            <w:webHidden/>
          </w:rPr>
          <w:instrText xml:space="preserve"> PAGEREF _Toc524340588 \h </w:instrText>
        </w:r>
        <w:r w:rsidR="00BC487C">
          <w:rPr>
            <w:noProof/>
            <w:webHidden/>
          </w:rPr>
        </w:r>
        <w:r w:rsidR="00BC487C">
          <w:rPr>
            <w:noProof/>
            <w:webHidden/>
          </w:rPr>
          <w:fldChar w:fldCharType="separate"/>
        </w:r>
        <w:r w:rsidR="007277F5">
          <w:rPr>
            <w:noProof/>
            <w:webHidden/>
          </w:rPr>
          <w:t>7</w:t>
        </w:r>
        <w:r w:rsidR="00BC487C">
          <w:rPr>
            <w:noProof/>
            <w:webHidden/>
          </w:rPr>
          <w:fldChar w:fldCharType="end"/>
        </w:r>
      </w:hyperlink>
    </w:p>
    <w:p w14:paraId="1572DAE5" w14:textId="77777777" w:rsidR="00BC487C" w:rsidRDefault="00CF3EC9">
      <w:pPr>
        <w:pStyle w:val="TOC3"/>
        <w:tabs>
          <w:tab w:val="left" w:pos="1320"/>
          <w:tab w:val="right" w:leader="dot" w:pos="9016"/>
        </w:tabs>
        <w:rPr>
          <w:rFonts w:eastAsiaTheme="minorEastAsia"/>
          <w:noProof/>
          <w:lang w:eastAsia="en-GB"/>
        </w:rPr>
      </w:pPr>
      <w:hyperlink w:anchor="_Toc524340589" w:history="1">
        <w:r w:rsidR="00BC487C" w:rsidRPr="009520F1">
          <w:rPr>
            <w:rStyle w:val="Hyperlink"/>
            <w:noProof/>
          </w:rPr>
          <w:t>3.1.5.</w:t>
        </w:r>
        <w:r w:rsidR="00BC487C">
          <w:rPr>
            <w:rFonts w:eastAsiaTheme="minorEastAsia"/>
            <w:noProof/>
            <w:lang w:eastAsia="en-GB"/>
          </w:rPr>
          <w:tab/>
        </w:r>
        <w:r w:rsidR="00BC487C" w:rsidRPr="009520F1">
          <w:rPr>
            <w:rStyle w:val="Hyperlink"/>
            <w:noProof/>
          </w:rPr>
          <w:t>Policies and actions towards public buildings  (Article 2a(1)(e))</w:t>
        </w:r>
        <w:r w:rsidR="00BC487C">
          <w:rPr>
            <w:noProof/>
            <w:webHidden/>
          </w:rPr>
          <w:tab/>
        </w:r>
        <w:r w:rsidR="00BC487C">
          <w:rPr>
            <w:noProof/>
            <w:webHidden/>
          </w:rPr>
          <w:fldChar w:fldCharType="begin"/>
        </w:r>
        <w:r w:rsidR="00BC487C">
          <w:rPr>
            <w:noProof/>
            <w:webHidden/>
          </w:rPr>
          <w:instrText xml:space="preserve"> PAGEREF _Toc524340589 \h </w:instrText>
        </w:r>
        <w:r w:rsidR="00BC487C">
          <w:rPr>
            <w:noProof/>
            <w:webHidden/>
          </w:rPr>
        </w:r>
        <w:r w:rsidR="00BC487C">
          <w:rPr>
            <w:noProof/>
            <w:webHidden/>
          </w:rPr>
          <w:fldChar w:fldCharType="separate"/>
        </w:r>
        <w:r w:rsidR="007277F5">
          <w:rPr>
            <w:noProof/>
            <w:webHidden/>
          </w:rPr>
          <w:t>9</w:t>
        </w:r>
        <w:r w:rsidR="00BC487C">
          <w:rPr>
            <w:noProof/>
            <w:webHidden/>
          </w:rPr>
          <w:fldChar w:fldCharType="end"/>
        </w:r>
      </w:hyperlink>
    </w:p>
    <w:p w14:paraId="72444A12" w14:textId="77777777" w:rsidR="00BC487C" w:rsidRDefault="00CF3EC9">
      <w:pPr>
        <w:pStyle w:val="TOC3"/>
        <w:tabs>
          <w:tab w:val="left" w:pos="1320"/>
          <w:tab w:val="right" w:leader="dot" w:pos="9016"/>
        </w:tabs>
        <w:rPr>
          <w:rFonts w:eastAsiaTheme="minorEastAsia"/>
          <w:noProof/>
          <w:lang w:eastAsia="en-GB"/>
        </w:rPr>
      </w:pPr>
      <w:hyperlink w:anchor="_Toc524340590" w:history="1">
        <w:r w:rsidR="00BC487C" w:rsidRPr="009520F1">
          <w:rPr>
            <w:rStyle w:val="Hyperlink"/>
            <w:noProof/>
          </w:rPr>
          <w:t>3.1.6.</w:t>
        </w:r>
        <w:r w:rsidR="00BC487C">
          <w:rPr>
            <w:rFonts w:eastAsiaTheme="minorEastAsia"/>
            <w:noProof/>
            <w:lang w:eastAsia="en-GB"/>
          </w:rPr>
          <w:tab/>
        </w:r>
        <w:r w:rsidR="00BC487C" w:rsidRPr="009520F1">
          <w:rPr>
            <w:rStyle w:val="Hyperlink"/>
            <w:noProof/>
          </w:rPr>
          <w:t>Incentives towards smart technologies and skills – (Article 2a(1)(f))</w:t>
        </w:r>
        <w:r w:rsidR="00BC487C">
          <w:rPr>
            <w:noProof/>
            <w:webHidden/>
          </w:rPr>
          <w:tab/>
        </w:r>
        <w:r w:rsidR="00BC487C">
          <w:rPr>
            <w:noProof/>
            <w:webHidden/>
          </w:rPr>
          <w:fldChar w:fldCharType="begin"/>
        </w:r>
        <w:r w:rsidR="00BC487C">
          <w:rPr>
            <w:noProof/>
            <w:webHidden/>
          </w:rPr>
          <w:instrText xml:space="preserve"> PAGEREF _Toc524340590 \h </w:instrText>
        </w:r>
        <w:r w:rsidR="00BC487C">
          <w:rPr>
            <w:noProof/>
            <w:webHidden/>
          </w:rPr>
        </w:r>
        <w:r w:rsidR="00BC487C">
          <w:rPr>
            <w:noProof/>
            <w:webHidden/>
          </w:rPr>
          <w:fldChar w:fldCharType="separate"/>
        </w:r>
        <w:r w:rsidR="007277F5">
          <w:rPr>
            <w:noProof/>
            <w:webHidden/>
          </w:rPr>
          <w:t>9</w:t>
        </w:r>
        <w:r w:rsidR="00BC487C">
          <w:rPr>
            <w:noProof/>
            <w:webHidden/>
          </w:rPr>
          <w:fldChar w:fldCharType="end"/>
        </w:r>
      </w:hyperlink>
    </w:p>
    <w:p w14:paraId="40DA8E4C" w14:textId="77777777" w:rsidR="00BC487C" w:rsidRDefault="00CF3EC9">
      <w:pPr>
        <w:pStyle w:val="TOC3"/>
        <w:tabs>
          <w:tab w:val="left" w:pos="1320"/>
          <w:tab w:val="right" w:leader="dot" w:pos="9016"/>
        </w:tabs>
        <w:rPr>
          <w:rFonts w:eastAsiaTheme="minorEastAsia"/>
          <w:noProof/>
          <w:lang w:eastAsia="en-GB"/>
        </w:rPr>
      </w:pPr>
      <w:hyperlink w:anchor="_Toc524340591" w:history="1">
        <w:r w:rsidR="00BC487C" w:rsidRPr="009520F1">
          <w:rPr>
            <w:rStyle w:val="Hyperlink"/>
            <w:noProof/>
          </w:rPr>
          <w:t>3.1.7.</w:t>
        </w:r>
        <w:r w:rsidR="00BC487C">
          <w:rPr>
            <w:rFonts w:eastAsiaTheme="minorEastAsia"/>
            <w:noProof/>
            <w:lang w:eastAsia="en-GB"/>
          </w:rPr>
          <w:tab/>
        </w:r>
        <w:r w:rsidR="00BC487C" w:rsidRPr="009520F1">
          <w:rPr>
            <w:rStyle w:val="Hyperlink"/>
            <w:noProof/>
          </w:rPr>
          <w:t>Estimation of energy savings and wider benefits (Article 2a(1)(g))</w:t>
        </w:r>
        <w:r w:rsidR="00BC487C">
          <w:rPr>
            <w:noProof/>
            <w:webHidden/>
          </w:rPr>
          <w:tab/>
        </w:r>
        <w:r w:rsidR="00BC487C">
          <w:rPr>
            <w:noProof/>
            <w:webHidden/>
          </w:rPr>
          <w:fldChar w:fldCharType="begin"/>
        </w:r>
        <w:r w:rsidR="00BC487C">
          <w:rPr>
            <w:noProof/>
            <w:webHidden/>
          </w:rPr>
          <w:instrText xml:space="preserve"> PAGEREF _Toc524340591 \h </w:instrText>
        </w:r>
        <w:r w:rsidR="00BC487C">
          <w:rPr>
            <w:noProof/>
            <w:webHidden/>
          </w:rPr>
        </w:r>
        <w:r w:rsidR="00BC487C">
          <w:rPr>
            <w:noProof/>
            <w:webHidden/>
          </w:rPr>
          <w:fldChar w:fldCharType="separate"/>
        </w:r>
        <w:r w:rsidR="007277F5">
          <w:rPr>
            <w:noProof/>
            <w:webHidden/>
          </w:rPr>
          <w:t>10</w:t>
        </w:r>
        <w:r w:rsidR="00BC487C">
          <w:rPr>
            <w:noProof/>
            <w:webHidden/>
          </w:rPr>
          <w:fldChar w:fldCharType="end"/>
        </w:r>
      </w:hyperlink>
    </w:p>
    <w:p w14:paraId="1B91D9E5" w14:textId="77777777" w:rsidR="00BC487C" w:rsidRDefault="00CF3EC9">
      <w:pPr>
        <w:pStyle w:val="TOC2"/>
        <w:tabs>
          <w:tab w:val="left" w:pos="880"/>
          <w:tab w:val="right" w:leader="dot" w:pos="9016"/>
        </w:tabs>
        <w:rPr>
          <w:rFonts w:eastAsiaTheme="minorEastAsia"/>
          <w:noProof/>
          <w:lang w:eastAsia="en-GB"/>
        </w:rPr>
      </w:pPr>
      <w:hyperlink w:anchor="_Toc524340592" w:history="1">
        <w:r w:rsidR="00BC487C" w:rsidRPr="009520F1">
          <w:rPr>
            <w:rStyle w:val="Hyperlink"/>
            <w:noProof/>
          </w:rPr>
          <w:t>3.2.</w:t>
        </w:r>
        <w:r w:rsidR="00BC487C">
          <w:rPr>
            <w:rFonts w:eastAsiaTheme="minorEastAsia"/>
            <w:noProof/>
            <w:lang w:eastAsia="en-GB"/>
          </w:rPr>
          <w:tab/>
        </w:r>
        <w:r w:rsidR="00BC487C" w:rsidRPr="009520F1">
          <w:rPr>
            <w:rStyle w:val="Hyperlink"/>
            <w:noProof/>
          </w:rPr>
          <w:t>Set out a roadmap (Article 2a(2))</w:t>
        </w:r>
        <w:r w:rsidR="00BC487C">
          <w:rPr>
            <w:noProof/>
            <w:webHidden/>
          </w:rPr>
          <w:tab/>
        </w:r>
        <w:r w:rsidR="00BC487C">
          <w:rPr>
            <w:noProof/>
            <w:webHidden/>
          </w:rPr>
          <w:fldChar w:fldCharType="begin"/>
        </w:r>
        <w:r w:rsidR="00BC487C">
          <w:rPr>
            <w:noProof/>
            <w:webHidden/>
          </w:rPr>
          <w:instrText xml:space="preserve"> PAGEREF _Toc524340592 \h </w:instrText>
        </w:r>
        <w:r w:rsidR="00BC487C">
          <w:rPr>
            <w:noProof/>
            <w:webHidden/>
          </w:rPr>
        </w:r>
        <w:r w:rsidR="00BC487C">
          <w:rPr>
            <w:noProof/>
            <w:webHidden/>
          </w:rPr>
          <w:fldChar w:fldCharType="separate"/>
        </w:r>
        <w:r w:rsidR="007277F5">
          <w:rPr>
            <w:noProof/>
            <w:webHidden/>
          </w:rPr>
          <w:t>11</w:t>
        </w:r>
        <w:r w:rsidR="00BC487C">
          <w:rPr>
            <w:noProof/>
            <w:webHidden/>
          </w:rPr>
          <w:fldChar w:fldCharType="end"/>
        </w:r>
      </w:hyperlink>
    </w:p>
    <w:p w14:paraId="4560E954" w14:textId="77777777" w:rsidR="00BC487C" w:rsidRDefault="00CF3EC9">
      <w:pPr>
        <w:pStyle w:val="TOC2"/>
        <w:tabs>
          <w:tab w:val="left" w:pos="880"/>
          <w:tab w:val="right" w:leader="dot" w:pos="9016"/>
        </w:tabs>
        <w:rPr>
          <w:rFonts w:eastAsiaTheme="minorEastAsia"/>
          <w:noProof/>
          <w:lang w:eastAsia="en-GB"/>
        </w:rPr>
      </w:pPr>
      <w:hyperlink w:anchor="_Toc524340593" w:history="1">
        <w:r w:rsidR="00BC487C" w:rsidRPr="009520F1">
          <w:rPr>
            <w:rStyle w:val="Hyperlink"/>
            <w:noProof/>
          </w:rPr>
          <w:t>3.3.</w:t>
        </w:r>
        <w:r w:rsidR="00BC487C">
          <w:rPr>
            <w:rFonts w:eastAsiaTheme="minorEastAsia"/>
            <w:noProof/>
            <w:lang w:eastAsia="en-GB"/>
          </w:rPr>
          <w:tab/>
        </w:r>
        <w:r w:rsidR="00BC487C" w:rsidRPr="009520F1">
          <w:rPr>
            <w:rStyle w:val="Hyperlink"/>
            <w:noProof/>
          </w:rPr>
          <w:t>Carry out a public consultation and monitor implementation</w:t>
        </w:r>
        <w:r w:rsidR="00BC487C">
          <w:rPr>
            <w:noProof/>
            <w:webHidden/>
          </w:rPr>
          <w:tab/>
        </w:r>
        <w:r w:rsidR="00BC487C">
          <w:rPr>
            <w:noProof/>
            <w:webHidden/>
          </w:rPr>
          <w:fldChar w:fldCharType="begin"/>
        </w:r>
        <w:r w:rsidR="00BC487C">
          <w:rPr>
            <w:noProof/>
            <w:webHidden/>
          </w:rPr>
          <w:instrText xml:space="preserve"> PAGEREF _Toc524340593 \h </w:instrText>
        </w:r>
        <w:r w:rsidR="00BC487C">
          <w:rPr>
            <w:noProof/>
            <w:webHidden/>
          </w:rPr>
        </w:r>
        <w:r w:rsidR="00BC487C">
          <w:rPr>
            <w:noProof/>
            <w:webHidden/>
          </w:rPr>
          <w:fldChar w:fldCharType="separate"/>
        </w:r>
        <w:r w:rsidR="007277F5">
          <w:rPr>
            <w:noProof/>
            <w:webHidden/>
          </w:rPr>
          <w:t>12</w:t>
        </w:r>
        <w:r w:rsidR="00BC487C">
          <w:rPr>
            <w:noProof/>
            <w:webHidden/>
          </w:rPr>
          <w:fldChar w:fldCharType="end"/>
        </w:r>
      </w:hyperlink>
    </w:p>
    <w:p w14:paraId="31E40BC4" w14:textId="77777777" w:rsidR="00BC487C" w:rsidRDefault="00CF3EC9">
      <w:pPr>
        <w:pStyle w:val="TOC2"/>
        <w:tabs>
          <w:tab w:val="left" w:pos="880"/>
          <w:tab w:val="right" w:leader="dot" w:pos="9016"/>
        </w:tabs>
        <w:rPr>
          <w:rFonts w:eastAsiaTheme="minorEastAsia"/>
          <w:noProof/>
          <w:lang w:eastAsia="en-GB"/>
        </w:rPr>
      </w:pPr>
      <w:hyperlink w:anchor="_Toc524340594" w:history="1">
        <w:r w:rsidR="00BC487C" w:rsidRPr="009520F1">
          <w:rPr>
            <w:rStyle w:val="Hyperlink"/>
            <w:noProof/>
          </w:rPr>
          <w:t>3.4.</w:t>
        </w:r>
        <w:r w:rsidR="00BC487C">
          <w:rPr>
            <w:rFonts w:eastAsiaTheme="minorEastAsia"/>
            <w:noProof/>
            <w:lang w:eastAsia="en-GB"/>
          </w:rPr>
          <w:tab/>
        </w:r>
        <w:r w:rsidR="00BC487C" w:rsidRPr="009520F1">
          <w:rPr>
            <w:rStyle w:val="Hyperlink"/>
            <w:noProof/>
          </w:rPr>
          <w:t>Consideration of safety issues</w:t>
        </w:r>
        <w:r w:rsidR="00BC487C">
          <w:rPr>
            <w:noProof/>
            <w:webHidden/>
          </w:rPr>
          <w:tab/>
        </w:r>
        <w:r w:rsidR="00BC487C">
          <w:rPr>
            <w:noProof/>
            <w:webHidden/>
          </w:rPr>
          <w:fldChar w:fldCharType="begin"/>
        </w:r>
        <w:r w:rsidR="00BC487C">
          <w:rPr>
            <w:noProof/>
            <w:webHidden/>
          </w:rPr>
          <w:instrText xml:space="preserve"> PAGEREF _Toc524340594 \h </w:instrText>
        </w:r>
        <w:r w:rsidR="00BC487C">
          <w:rPr>
            <w:noProof/>
            <w:webHidden/>
          </w:rPr>
        </w:r>
        <w:r w:rsidR="00BC487C">
          <w:rPr>
            <w:noProof/>
            <w:webHidden/>
          </w:rPr>
          <w:fldChar w:fldCharType="separate"/>
        </w:r>
        <w:r w:rsidR="007277F5">
          <w:rPr>
            <w:noProof/>
            <w:webHidden/>
          </w:rPr>
          <w:t>13</w:t>
        </w:r>
        <w:r w:rsidR="00BC487C">
          <w:rPr>
            <w:noProof/>
            <w:webHidden/>
          </w:rPr>
          <w:fldChar w:fldCharType="end"/>
        </w:r>
      </w:hyperlink>
    </w:p>
    <w:p w14:paraId="785D8E51" w14:textId="77777777" w:rsidR="00BC487C" w:rsidRDefault="00CF3EC9">
      <w:pPr>
        <w:pStyle w:val="TOC1"/>
        <w:tabs>
          <w:tab w:val="left" w:pos="440"/>
          <w:tab w:val="right" w:leader="dot" w:pos="9016"/>
        </w:tabs>
        <w:rPr>
          <w:rFonts w:eastAsiaTheme="minorEastAsia"/>
          <w:noProof/>
          <w:lang w:eastAsia="en-GB"/>
        </w:rPr>
      </w:pPr>
      <w:hyperlink w:anchor="_Toc524340596" w:history="1">
        <w:r w:rsidR="00BC487C" w:rsidRPr="009520F1">
          <w:rPr>
            <w:rStyle w:val="Hyperlink"/>
            <w:noProof/>
          </w:rPr>
          <w:t>4.</w:t>
        </w:r>
        <w:r w:rsidR="00BC487C">
          <w:rPr>
            <w:rFonts w:eastAsiaTheme="minorEastAsia"/>
            <w:noProof/>
            <w:lang w:eastAsia="en-GB"/>
          </w:rPr>
          <w:tab/>
        </w:r>
        <w:r w:rsidR="00BC487C" w:rsidRPr="009520F1">
          <w:rPr>
            <w:rStyle w:val="Hyperlink"/>
            <w:noProof/>
          </w:rPr>
          <w:t>OBLIGATION TO FACILITATE ACCESS TO MECHANISMS TO SUPPORT THE MOBILISATION OF INVESTMENTS (ARTICLE 2A(3))</w:t>
        </w:r>
        <w:r w:rsidR="00BC487C">
          <w:rPr>
            <w:noProof/>
            <w:webHidden/>
          </w:rPr>
          <w:tab/>
        </w:r>
        <w:r w:rsidR="00BC487C">
          <w:rPr>
            <w:noProof/>
            <w:webHidden/>
          </w:rPr>
          <w:fldChar w:fldCharType="begin"/>
        </w:r>
        <w:r w:rsidR="00BC487C">
          <w:rPr>
            <w:noProof/>
            <w:webHidden/>
          </w:rPr>
          <w:instrText xml:space="preserve"> PAGEREF _Toc524340596 \h </w:instrText>
        </w:r>
        <w:r w:rsidR="00BC487C">
          <w:rPr>
            <w:noProof/>
            <w:webHidden/>
          </w:rPr>
        </w:r>
        <w:r w:rsidR="00BC487C">
          <w:rPr>
            <w:noProof/>
            <w:webHidden/>
          </w:rPr>
          <w:fldChar w:fldCharType="separate"/>
        </w:r>
        <w:r w:rsidR="007277F5">
          <w:rPr>
            <w:noProof/>
            <w:webHidden/>
          </w:rPr>
          <w:t>14</w:t>
        </w:r>
        <w:r w:rsidR="00BC487C">
          <w:rPr>
            <w:noProof/>
            <w:webHidden/>
          </w:rPr>
          <w:fldChar w:fldCharType="end"/>
        </w:r>
      </w:hyperlink>
    </w:p>
    <w:p w14:paraId="3829A46D" w14:textId="77777777" w:rsidR="00BC487C" w:rsidRDefault="00CF3EC9">
      <w:pPr>
        <w:pStyle w:val="TOC1"/>
        <w:tabs>
          <w:tab w:val="left" w:pos="440"/>
          <w:tab w:val="right" w:leader="dot" w:pos="9016"/>
        </w:tabs>
        <w:rPr>
          <w:rFonts w:eastAsiaTheme="minorEastAsia"/>
          <w:noProof/>
          <w:lang w:eastAsia="en-GB"/>
        </w:rPr>
      </w:pPr>
      <w:hyperlink w:anchor="_Toc524340597" w:history="1">
        <w:r w:rsidR="00BC487C" w:rsidRPr="009520F1">
          <w:rPr>
            <w:rStyle w:val="Hyperlink"/>
            <w:noProof/>
          </w:rPr>
          <w:t>5.</w:t>
        </w:r>
        <w:r w:rsidR="00BC487C">
          <w:rPr>
            <w:rFonts w:eastAsiaTheme="minorEastAsia"/>
            <w:noProof/>
            <w:lang w:eastAsia="en-GB"/>
          </w:rPr>
          <w:tab/>
        </w:r>
        <w:r w:rsidR="00BC487C" w:rsidRPr="009520F1">
          <w:rPr>
            <w:rStyle w:val="Hyperlink"/>
            <w:noProof/>
          </w:rPr>
          <w:t>ISSUES RELATED TO GOVERNANCE / DEADLINES FOR REPORTING</w:t>
        </w:r>
        <w:r w:rsidR="00BC487C">
          <w:rPr>
            <w:noProof/>
            <w:webHidden/>
          </w:rPr>
          <w:tab/>
        </w:r>
        <w:r w:rsidR="00BC487C">
          <w:rPr>
            <w:noProof/>
            <w:webHidden/>
          </w:rPr>
          <w:fldChar w:fldCharType="begin"/>
        </w:r>
        <w:r w:rsidR="00BC487C">
          <w:rPr>
            <w:noProof/>
            <w:webHidden/>
          </w:rPr>
          <w:instrText xml:space="preserve"> PAGEREF _Toc524340597 \h </w:instrText>
        </w:r>
        <w:r w:rsidR="00BC487C">
          <w:rPr>
            <w:noProof/>
            <w:webHidden/>
          </w:rPr>
        </w:r>
        <w:r w:rsidR="00BC487C">
          <w:rPr>
            <w:noProof/>
            <w:webHidden/>
          </w:rPr>
          <w:fldChar w:fldCharType="separate"/>
        </w:r>
        <w:r w:rsidR="007277F5">
          <w:rPr>
            <w:noProof/>
            <w:webHidden/>
          </w:rPr>
          <w:t>16</w:t>
        </w:r>
        <w:r w:rsidR="00BC487C">
          <w:rPr>
            <w:noProof/>
            <w:webHidden/>
          </w:rPr>
          <w:fldChar w:fldCharType="end"/>
        </w:r>
      </w:hyperlink>
    </w:p>
    <w:p w14:paraId="3095ABC3" w14:textId="77777777" w:rsidR="00BC487C" w:rsidRDefault="00CF3EC9">
      <w:pPr>
        <w:pStyle w:val="TOC1"/>
        <w:tabs>
          <w:tab w:val="left" w:pos="440"/>
          <w:tab w:val="right" w:leader="dot" w:pos="9016"/>
        </w:tabs>
        <w:rPr>
          <w:rFonts w:eastAsiaTheme="minorEastAsia"/>
          <w:noProof/>
          <w:lang w:eastAsia="en-GB"/>
        </w:rPr>
      </w:pPr>
      <w:hyperlink w:anchor="_Toc524340598" w:history="1">
        <w:r w:rsidR="00BC487C" w:rsidRPr="009520F1">
          <w:rPr>
            <w:rStyle w:val="Hyperlink"/>
            <w:noProof/>
          </w:rPr>
          <w:t>6.</w:t>
        </w:r>
        <w:r w:rsidR="00BC487C">
          <w:rPr>
            <w:rFonts w:eastAsiaTheme="minorEastAsia"/>
            <w:noProof/>
            <w:lang w:eastAsia="en-GB"/>
          </w:rPr>
          <w:tab/>
        </w:r>
        <w:r w:rsidR="00BC487C" w:rsidRPr="009520F1">
          <w:rPr>
            <w:rStyle w:val="Hyperlink"/>
            <w:noProof/>
          </w:rPr>
          <w:t>GUIDANCE ON GOOD PRACTICES FOR IMPLEMENTING THE OBLIGATIONS OF ARTICLE 2A</w:t>
        </w:r>
        <w:r w:rsidR="00BC487C">
          <w:rPr>
            <w:noProof/>
            <w:webHidden/>
          </w:rPr>
          <w:tab/>
        </w:r>
        <w:r w:rsidR="00BC487C">
          <w:rPr>
            <w:noProof/>
            <w:webHidden/>
          </w:rPr>
          <w:fldChar w:fldCharType="begin"/>
        </w:r>
        <w:r w:rsidR="00BC487C">
          <w:rPr>
            <w:noProof/>
            <w:webHidden/>
          </w:rPr>
          <w:instrText xml:space="preserve"> PAGEREF _Toc524340598 \h </w:instrText>
        </w:r>
        <w:r w:rsidR="00BC487C">
          <w:rPr>
            <w:noProof/>
            <w:webHidden/>
          </w:rPr>
        </w:r>
        <w:r w:rsidR="00BC487C">
          <w:rPr>
            <w:noProof/>
            <w:webHidden/>
          </w:rPr>
          <w:fldChar w:fldCharType="separate"/>
        </w:r>
        <w:r w:rsidR="007277F5">
          <w:rPr>
            <w:noProof/>
            <w:webHidden/>
          </w:rPr>
          <w:t>18</w:t>
        </w:r>
        <w:r w:rsidR="00BC487C">
          <w:rPr>
            <w:noProof/>
            <w:webHidden/>
          </w:rPr>
          <w:fldChar w:fldCharType="end"/>
        </w:r>
      </w:hyperlink>
    </w:p>
    <w:p w14:paraId="78EB1A39" w14:textId="77777777" w:rsidR="00BC487C" w:rsidRDefault="00CF3EC9">
      <w:pPr>
        <w:pStyle w:val="TOC2"/>
        <w:tabs>
          <w:tab w:val="left" w:pos="880"/>
          <w:tab w:val="right" w:leader="dot" w:pos="9016"/>
        </w:tabs>
        <w:rPr>
          <w:rFonts w:eastAsiaTheme="minorEastAsia"/>
          <w:noProof/>
          <w:lang w:eastAsia="en-GB"/>
        </w:rPr>
      </w:pPr>
      <w:hyperlink w:anchor="_Toc524340599" w:history="1">
        <w:r w:rsidR="00BC487C" w:rsidRPr="009520F1">
          <w:rPr>
            <w:rStyle w:val="Hyperlink"/>
            <w:noProof/>
          </w:rPr>
          <w:t>6.1.</w:t>
        </w:r>
        <w:r w:rsidR="00BC487C">
          <w:rPr>
            <w:rFonts w:eastAsiaTheme="minorEastAsia"/>
            <w:noProof/>
            <w:lang w:eastAsia="en-GB"/>
          </w:rPr>
          <w:tab/>
        </w:r>
        <w:r w:rsidR="00BC487C" w:rsidRPr="009520F1">
          <w:rPr>
            <w:rStyle w:val="Hyperlink"/>
            <w:noProof/>
          </w:rPr>
          <w:t>Overview of the national building stock (Article 2a(1)(a))</w:t>
        </w:r>
        <w:r w:rsidR="00BC487C">
          <w:rPr>
            <w:noProof/>
            <w:webHidden/>
          </w:rPr>
          <w:tab/>
        </w:r>
        <w:r w:rsidR="00BC487C">
          <w:rPr>
            <w:noProof/>
            <w:webHidden/>
          </w:rPr>
          <w:fldChar w:fldCharType="begin"/>
        </w:r>
        <w:r w:rsidR="00BC487C">
          <w:rPr>
            <w:noProof/>
            <w:webHidden/>
          </w:rPr>
          <w:instrText xml:space="preserve"> PAGEREF _Toc524340599 \h </w:instrText>
        </w:r>
        <w:r w:rsidR="00BC487C">
          <w:rPr>
            <w:noProof/>
            <w:webHidden/>
          </w:rPr>
        </w:r>
        <w:r w:rsidR="00BC487C">
          <w:rPr>
            <w:noProof/>
            <w:webHidden/>
          </w:rPr>
          <w:fldChar w:fldCharType="separate"/>
        </w:r>
        <w:r w:rsidR="007277F5">
          <w:rPr>
            <w:noProof/>
            <w:webHidden/>
          </w:rPr>
          <w:t>18</w:t>
        </w:r>
        <w:r w:rsidR="00BC487C">
          <w:rPr>
            <w:noProof/>
            <w:webHidden/>
          </w:rPr>
          <w:fldChar w:fldCharType="end"/>
        </w:r>
      </w:hyperlink>
    </w:p>
    <w:p w14:paraId="6E59FA5C" w14:textId="77777777" w:rsidR="00BC487C" w:rsidRDefault="00CF3EC9">
      <w:pPr>
        <w:pStyle w:val="TOC2"/>
        <w:tabs>
          <w:tab w:val="left" w:pos="880"/>
          <w:tab w:val="right" w:leader="dot" w:pos="9016"/>
        </w:tabs>
        <w:rPr>
          <w:rFonts w:eastAsiaTheme="minorEastAsia"/>
          <w:noProof/>
          <w:lang w:eastAsia="en-GB"/>
        </w:rPr>
      </w:pPr>
      <w:hyperlink w:anchor="_Toc524340600" w:history="1">
        <w:r w:rsidR="00BC487C" w:rsidRPr="009520F1">
          <w:rPr>
            <w:rStyle w:val="Hyperlink"/>
            <w:noProof/>
          </w:rPr>
          <w:t>6.2.</w:t>
        </w:r>
        <w:r w:rsidR="00BC487C">
          <w:rPr>
            <w:rFonts w:eastAsiaTheme="minorEastAsia"/>
            <w:noProof/>
            <w:lang w:eastAsia="en-GB"/>
          </w:rPr>
          <w:tab/>
        </w:r>
        <w:r w:rsidR="00BC487C" w:rsidRPr="009520F1">
          <w:rPr>
            <w:rStyle w:val="Hyperlink"/>
            <w:noProof/>
          </w:rPr>
          <w:t>Cost effective approaches to renovation (Article 2a(1)(b))</w:t>
        </w:r>
        <w:r w:rsidR="00BC487C">
          <w:rPr>
            <w:noProof/>
            <w:webHidden/>
          </w:rPr>
          <w:tab/>
        </w:r>
        <w:r w:rsidR="00BC487C">
          <w:rPr>
            <w:noProof/>
            <w:webHidden/>
          </w:rPr>
          <w:fldChar w:fldCharType="begin"/>
        </w:r>
        <w:r w:rsidR="00BC487C">
          <w:rPr>
            <w:noProof/>
            <w:webHidden/>
          </w:rPr>
          <w:instrText xml:space="preserve"> PAGEREF _Toc524340600 \h </w:instrText>
        </w:r>
        <w:r w:rsidR="00BC487C">
          <w:rPr>
            <w:noProof/>
            <w:webHidden/>
          </w:rPr>
        </w:r>
        <w:r w:rsidR="00BC487C">
          <w:rPr>
            <w:noProof/>
            <w:webHidden/>
          </w:rPr>
          <w:fldChar w:fldCharType="separate"/>
        </w:r>
        <w:r w:rsidR="007277F5">
          <w:rPr>
            <w:noProof/>
            <w:webHidden/>
          </w:rPr>
          <w:t>18</w:t>
        </w:r>
        <w:r w:rsidR="00BC487C">
          <w:rPr>
            <w:noProof/>
            <w:webHidden/>
          </w:rPr>
          <w:fldChar w:fldCharType="end"/>
        </w:r>
      </w:hyperlink>
    </w:p>
    <w:p w14:paraId="0CE68CCB" w14:textId="77777777" w:rsidR="00BC487C" w:rsidRDefault="00CF3EC9">
      <w:pPr>
        <w:pStyle w:val="TOC2"/>
        <w:tabs>
          <w:tab w:val="left" w:pos="880"/>
          <w:tab w:val="right" w:leader="dot" w:pos="9016"/>
        </w:tabs>
        <w:rPr>
          <w:rFonts w:eastAsiaTheme="minorEastAsia"/>
          <w:noProof/>
          <w:lang w:eastAsia="en-GB"/>
        </w:rPr>
      </w:pPr>
      <w:hyperlink w:anchor="_Toc524340601" w:history="1">
        <w:r w:rsidR="00BC487C" w:rsidRPr="009520F1">
          <w:rPr>
            <w:rStyle w:val="Hyperlink"/>
            <w:noProof/>
          </w:rPr>
          <w:t>6.3.</w:t>
        </w:r>
        <w:r w:rsidR="00BC487C">
          <w:rPr>
            <w:rFonts w:eastAsiaTheme="minorEastAsia"/>
            <w:noProof/>
            <w:lang w:eastAsia="en-GB"/>
          </w:rPr>
          <w:tab/>
        </w:r>
        <w:r w:rsidR="00BC487C" w:rsidRPr="009520F1">
          <w:rPr>
            <w:rStyle w:val="Hyperlink"/>
            <w:noProof/>
          </w:rPr>
          <w:t>Policies and actions towards deep renovation  (Article 2a(1)(c))</w:t>
        </w:r>
        <w:r w:rsidR="00BC487C">
          <w:rPr>
            <w:noProof/>
            <w:webHidden/>
          </w:rPr>
          <w:tab/>
        </w:r>
        <w:r w:rsidR="00BC487C">
          <w:rPr>
            <w:noProof/>
            <w:webHidden/>
          </w:rPr>
          <w:fldChar w:fldCharType="begin"/>
        </w:r>
        <w:r w:rsidR="00BC487C">
          <w:rPr>
            <w:noProof/>
            <w:webHidden/>
          </w:rPr>
          <w:instrText xml:space="preserve"> PAGEREF _Toc524340601 \h </w:instrText>
        </w:r>
        <w:r w:rsidR="00BC487C">
          <w:rPr>
            <w:noProof/>
            <w:webHidden/>
          </w:rPr>
        </w:r>
        <w:r w:rsidR="00BC487C">
          <w:rPr>
            <w:noProof/>
            <w:webHidden/>
          </w:rPr>
          <w:fldChar w:fldCharType="separate"/>
        </w:r>
        <w:r w:rsidR="007277F5">
          <w:rPr>
            <w:noProof/>
            <w:webHidden/>
          </w:rPr>
          <w:t>19</w:t>
        </w:r>
        <w:r w:rsidR="00BC487C">
          <w:rPr>
            <w:noProof/>
            <w:webHidden/>
          </w:rPr>
          <w:fldChar w:fldCharType="end"/>
        </w:r>
      </w:hyperlink>
    </w:p>
    <w:p w14:paraId="03B3F47B" w14:textId="77777777" w:rsidR="00BC487C" w:rsidRDefault="00CF3EC9">
      <w:pPr>
        <w:pStyle w:val="TOC2"/>
        <w:tabs>
          <w:tab w:val="left" w:pos="880"/>
          <w:tab w:val="right" w:leader="dot" w:pos="9016"/>
        </w:tabs>
        <w:rPr>
          <w:rFonts w:eastAsiaTheme="minorEastAsia"/>
          <w:noProof/>
          <w:lang w:eastAsia="en-GB"/>
        </w:rPr>
      </w:pPr>
      <w:hyperlink w:anchor="_Toc524340602" w:history="1">
        <w:r w:rsidR="00BC487C" w:rsidRPr="009520F1">
          <w:rPr>
            <w:rStyle w:val="Hyperlink"/>
            <w:noProof/>
          </w:rPr>
          <w:t>6.4.</w:t>
        </w:r>
        <w:r w:rsidR="00BC487C">
          <w:rPr>
            <w:rFonts w:eastAsiaTheme="minorEastAsia"/>
            <w:noProof/>
            <w:lang w:eastAsia="en-GB"/>
          </w:rPr>
          <w:tab/>
        </w:r>
        <w:r w:rsidR="00BC487C" w:rsidRPr="009520F1">
          <w:rPr>
            <w:rStyle w:val="Hyperlink"/>
            <w:noProof/>
          </w:rPr>
          <w:t>Policies and actions towards worst-performing buildings and energy poverty  (Article 2a(1)(d)</w:t>
        </w:r>
        <w:r w:rsidR="00BC487C">
          <w:rPr>
            <w:noProof/>
            <w:webHidden/>
          </w:rPr>
          <w:tab/>
        </w:r>
        <w:r w:rsidR="00BC487C">
          <w:rPr>
            <w:noProof/>
            <w:webHidden/>
          </w:rPr>
          <w:fldChar w:fldCharType="begin"/>
        </w:r>
        <w:r w:rsidR="00BC487C">
          <w:rPr>
            <w:noProof/>
            <w:webHidden/>
          </w:rPr>
          <w:instrText xml:space="preserve"> PAGEREF _Toc524340602 \h </w:instrText>
        </w:r>
        <w:r w:rsidR="00BC487C">
          <w:rPr>
            <w:noProof/>
            <w:webHidden/>
          </w:rPr>
        </w:r>
        <w:r w:rsidR="00BC487C">
          <w:rPr>
            <w:noProof/>
            <w:webHidden/>
          </w:rPr>
          <w:fldChar w:fldCharType="separate"/>
        </w:r>
        <w:r w:rsidR="007277F5">
          <w:rPr>
            <w:noProof/>
            <w:webHidden/>
          </w:rPr>
          <w:t>19</w:t>
        </w:r>
        <w:r w:rsidR="00BC487C">
          <w:rPr>
            <w:noProof/>
            <w:webHidden/>
          </w:rPr>
          <w:fldChar w:fldCharType="end"/>
        </w:r>
      </w:hyperlink>
    </w:p>
    <w:p w14:paraId="29B6D705" w14:textId="77777777" w:rsidR="00BC487C" w:rsidRDefault="00CF3EC9">
      <w:pPr>
        <w:pStyle w:val="TOC3"/>
        <w:tabs>
          <w:tab w:val="left" w:pos="1320"/>
          <w:tab w:val="right" w:leader="dot" w:pos="9016"/>
        </w:tabs>
        <w:rPr>
          <w:rFonts w:eastAsiaTheme="minorEastAsia"/>
          <w:noProof/>
          <w:lang w:eastAsia="en-GB"/>
        </w:rPr>
      </w:pPr>
      <w:hyperlink w:anchor="_Toc524340603" w:history="1">
        <w:r w:rsidR="00BC487C" w:rsidRPr="009520F1">
          <w:rPr>
            <w:rStyle w:val="Hyperlink"/>
            <w:noProof/>
          </w:rPr>
          <w:t>6.4.1.</w:t>
        </w:r>
        <w:r w:rsidR="00BC487C">
          <w:rPr>
            <w:rFonts w:eastAsiaTheme="minorEastAsia"/>
            <w:noProof/>
            <w:lang w:eastAsia="en-GB"/>
          </w:rPr>
          <w:tab/>
        </w:r>
        <w:r w:rsidR="00BC487C" w:rsidRPr="009520F1">
          <w:rPr>
            <w:rStyle w:val="Hyperlink"/>
            <w:noProof/>
          </w:rPr>
          <w:t>Worst performing segments of the national building stock</w:t>
        </w:r>
        <w:r w:rsidR="00BC487C">
          <w:rPr>
            <w:noProof/>
            <w:webHidden/>
          </w:rPr>
          <w:tab/>
        </w:r>
        <w:r w:rsidR="00BC487C">
          <w:rPr>
            <w:noProof/>
            <w:webHidden/>
          </w:rPr>
          <w:fldChar w:fldCharType="begin"/>
        </w:r>
        <w:r w:rsidR="00BC487C">
          <w:rPr>
            <w:noProof/>
            <w:webHidden/>
          </w:rPr>
          <w:instrText xml:space="preserve"> PAGEREF _Toc524340603 \h </w:instrText>
        </w:r>
        <w:r w:rsidR="00BC487C">
          <w:rPr>
            <w:noProof/>
            <w:webHidden/>
          </w:rPr>
        </w:r>
        <w:r w:rsidR="00BC487C">
          <w:rPr>
            <w:noProof/>
            <w:webHidden/>
          </w:rPr>
          <w:fldChar w:fldCharType="separate"/>
        </w:r>
        <w:r w:rsidR="007277F5">
          <w:rPr>
            <w:noProof/>
            <w:webHidden/>
          </w:rPr>
          <w:t>19</w:t>
        </w:r>
        <w:r w:rsidR="00BC487C">
          <w:rPr>
            <w:noProof/>
            <w:webHidden/>
          </w:rPr>
          <w:fldChar w:fldCharType="end"/>
        </w:r>
      </w:hyperlink>
    </w:p>
    <w:p w14:paraId="6663A777" w14:textId="77777777" w:rsidR="00BC487C" w:rsidRDefault="00CF3EC9">
      <w:pPr>
        <w:pStyle w:val="TOC3"/>
        <w:tabs>
          <w:tab w:val="left" w:pos="1320"/>
          <w:tab w:val="right" w:leader="dot" w:pos="9016"/>
        </w:tabs>
        <w:rPr>
          <w:rFonts w:eastAsiaTheme="minorEastAsia"/>
          <w:noProof/>
          <w:lang w:eastAsia="en-GB"/>
        </w:rPr>
      </w:pPr>
      <w:hyperlink w:anchor="_Toc524340604" w:history="1">
        <w:r w:rsidR="00BC487C" w:rsidRPr="009520F1">
          <w:rPr>
            <w:rStyle w:val="Hyperlink"/>
            <w:noProof/>
          </w:rPr>
          <w:t>6.4.2.</w:t>
        </w:r>
        <w:r w:rsidR="00BC487C">
          <w:rPr>
            <w:rFonts w:eastAsiaTheme="minorEastAsia"/>
            <w:noProof/>
            <w:lang w:eastAsia="en-GB"/>
          </w:rPr>
          <w:tab/>
        </w:r>
        <w:r w:rsidR="00BC487C" w:rsidRPr="009520F1">
          <w:rPr>
            <w:rStyle w:val="Hyperlink"/>
            <w:noProof/>
          </w:rPr>
          <w:t>Split incentive dilemmas</w:t>
        </w:r>
        <w:r w:rsidR="00BC487C">
          <w:rPr>
            <w:noProof/>
            <w:webHidden/>
          </w:rPr>
          <w:tab/>
        </w:r>
        <w:r w:rsidR="00BC487C">
          <w:rPr>
            <w:noProof/>
            <w:webHidden/>
          </w:rPr>
          <w:fldChar w:fldCharType="begin"/>
        </w:r>
        <w:r w:rsidR="00BC487C">
          <w:rPr>
            <w:noProof/>
            <w:webHidden/>
          </w:rPr>
          <w:instrText xml:space="preserve"> PAGEREF _Toc524340604 \h </w:instrText>
        </w:r>
        <w:r w:rsidR="00BC487C">
          <w:rPr>
            <w:noProof/>
            <w:webHidden/>
          </w:rPr>
        </w:r>
        <w:r w:rsidR="00BC487C">
          <w:rPr>
            <w:noProof/>
            <w:webHidden/>
          </w:rPr>
          <w:fldChar w:fldCharType="separate"/>
        </w:r>
        <w:r w:rsidR="007277F5">
          <w:rPr>
            <w:noProof/>
            <w:webHidden/>
          </w:rPr>
          <w:t>19</w:t>
        </w:r>
        <w:r w:rsidR="00BC487C">
          <w:rPr>
            <w:noProof/>
            <w:webHidden/>
          </w:rPr>
          <w:fldChar w:fldCharType="end"/>
        </w:r>
      </w:hyperlink>
    </w:p>
    <w:p w14:paraId="181C7978" w14:textId="77777777" w:rsidR="00BC487C" w:rsidRDefault="00CF3EC9">
      <w:pPr>
        <w:pStyle w:val="TOC3"/>
        <w:tabs>
          <w:tab w:val="left" w:pos="1320"/>
          <w:tab w:val="right" w:leader="dot" w:pos="9016"/>
        </w:tabs>
        <w:rPr>
          <w:rFonts w:eastAsiaTheme="minorEastAsia"/>
          <w:noProof/>
          <w:lang w:eastAsia="en-GB"/>
        </w:rPr>
      </w:pPr>
      <w:hyperlink w:anchor="_Toc524340605" w:history="1">
        <w:r w:rsidR="00BC487C" w:rsidRPr="009520F1">
          <w:rPr>
            <w:rStyle w:val="Hyperlink"/>
            <w:noProof/>
          </w:rPr>
          <w:t>6.4.3.</w:t>
        </w:r>
        <w:r w:rsidR="00BC487C">
          <w:rPr>
            <w:rFonts w:eastAsiaTheme="minorEastAsia"/>
            <w:noProof/>
            <w:lang w:eastAsia="en-GB"/>
          </w:rPr>
          <w:tab/>
        </w:r>
        <w:r w:rsidR="00BC487C" w:rsidRPr="009520F1">
          <w:rPr>
            <w:rStyle w:val="Hyperlink"/>
            <w:noProof/>
          </w:rPr>
          <w:t>Market failures</w:t>
        </w:r>
        <w:r w:rsidR="00BC487C">
          <w:rPr>
            <w:noProof/>
            <w:webHidden/>
          </w:rPr>
          <w:tab/>
        </w:r>
        <w:r w:rsidR="00BC487C">
          <w:rPr>
            <w:noProof/>
            <w:webHidden/>
          </w:rPr>
          <w:fldChar w:fldCharType="begin"/>
        </w:r>
        <w:r w:rsidR="00BC487C">
          <w:rPr>
            <w:noProof/>
            <w:webHidden/>
          </w:rPr>
          <w:instrText xml:space="preserve"> PAGEREF _Toc524340605 \h </w:instrText>
        </w:r>
        <w:r w:rsidR="00BC487C">
          <w:rPr>
            <w:noProof/>
            <w:webHidden/>
          </w:rPr>
        </w:r>
        <w:r w:rsidR="00BC487C">
          <w:rPr>
            <w:noProof/>
            <w:webHidden/>
          </w:rPr>
          <w:fldChar w:fldCharType="separate"/>
        </w:r>
        <w:r w:rsidR="007277F5">
          <w:rPr>
            <w:noProof/>
            <w:webHidden/>
          </w:rPr>
          <w:t>19</w:t>
        </w:r>
        <w:r w:rsidR="00BC487C">
          <w:rPr>
            <w:noProof/>
            <w:webHidden/>
          </w:rPr>
          <w:fldChar w:fldCharType="end"/>
        </w:r>
      </w:hyperlink>
    </w:p>
    <w:p w14:paraId="176CA007" w14:textId="77777777" w:rsidR="00BC487C" w:rsidRDefault="00CF3EC9">
      <w:pPr>
        <w:pStyle w:val="TOC3"/>
        <w:tabs>
          <w:tab w:val="left" w:pos="1320"/>
          <w:tab w:val="right" w:leader="dot" w:pos="9016"/>
        </w:tabs>
        <w:rPr>
          <w:rFonts w:eastAsiaTheme="minorEastAsia"/>
          <w:noProof/>
          <w:lang w:eastAsia="en-GB"/>
        </w:rPr>
      </w:pPr>
      <w:hyperlink w:anchor="_Toc524340606" w:history="1">
        <w:r w:rsidR="00BC487C" w:rsidRPr="009520F1">
          <w:rPr>
            <w:rStyle w:val="Hyperlink"/>
            <w:noProof/>
          </w:rPr>
          <w:t>6.4.4.</w:t>
        </w:r>
        <w:r w:rsidR="00BC487C">
          <w:rPr>
            <w:rFonts w:eastAsiaTheme="minorEastAsia"/>
            <w:noProof/>
            <w:lang w:eastAsia="en-GB"/>
          </w:rPr>
          <w:tab/>
        </w:r>
        <w:r w:rsidR="00BC487C" w:rsidRPr="009520F1">
          <w:rPr>
            <w:rStyle w:val="Hyperlink"/>
            <w:noProof/>
          </w:rPr>
          <w:t>Alleviation of energy poverty</w:t>
        </w:r>
        <w:r w:rsidR="00BC487C">
          <w:rPr>
            <w:noProof/>
            <w:webHidden/>
          </w:rPr>
          <w:tab/>
        </w:r>
        <w:r w:rsidR="00BC487C">
          <w:rPr>
            <w:noProof/>
            <w:webHidden/>
          </w:rPr>
          <w:fldChar w:fldCharType="begin"/>
        </w:r>
        <w:r w:rsidR="00BC487C">
          <w:rPr>
            <w:noProof/>
            <w:webHidden/>
          </w:rPr>
          <w:instrText xml:space="preserve"> PAGEREF _Toc524340606 \h </w:instrText>
        </w:r>
        <w:r w:rsidR="00BC487C">
          <w:rPr>
            <w:noProof/>
            <w:webHidden/>
          </w:rPr>
        </w:r>
        <w:r w:rsidR="00BC487C">
          <w:rPr>
            <w:noProof/>
            <w:webHidden/>
          </w:rPr>
          <w:fldChar w:fldCharType="separate"/>
        </w:r>
        <w:r w:rsidR="007277F5">
          <w:rPr>
            <w:noProof/>
            <w:webHidden/>
          </w:rPr>
          <w:t>19</w:t>
        </w:r>
        <w:r w:rsidR="00BC487C">
          <w:rPr>
            <w:noProof/>
            <w:webHidden/>
          </w:rPr>
          <w:fldChar w:fldCharType="end"/>
        </w:r>
      </w:hyperlink>
    </w:p>
    <w:p w14:paraId="3D43DF32" w14:textId="77777777" w:rsidR="00BC487C" w:rsidRDefault="00CF3EC9">
      <w:pPr>
        <w:pStyle w:val="TOC2"/>
        <w:tabs>
          <w:tab w:val="left" w:pos="880"/>
          <w:tab w:val="right" w:leader="dot" w:pos="9016"/>
        </w:tabs>
        <w:rPr>
          <w:rFonts w:eastAsiaTheme="minorEastAsia"/>
          <w:noProof/>
          <w:lang w:eastAsia="en-GB"/>
        </w:rPr>
      </w:pPr>
      <w:hyperlink w:anchor="_Toc524340607" w:history="1">
        <w:r w:rsidR="00BC487C" w:rsidRPr="009520F1">
          <w:rPr>
            <w:rStyle w:val="Hyperlink"/>
            <w:noProof/>
          </w:rPr>
          <w:t>6.5.</w:t>
        </w:r>
        <w:r w:rsidR="00BC487C">
          <w:rPr>
            <w:rFonts w:eastAsiaTheme="minorEastAsia"/>
            <w:noProof/>
            <w:lang w:eastAsia="en-GB"/>
          </w:rPr>
          <w:tab/>
        </w:r>
        <w:r w:rsidR="00BC487C" w:rsidRPr="009520F1">
          <w:rPr>
            <w:rStyle w:val="Hyperlink"/>
            <w:noProof/>
          </w:rPr>
          <w:t>Policies and actions towards public buildings  (Article 2a(1)(e))</w:t>
        </w:r>
        <w:r w:rsidR="00BC487C">
          <w:rPr>
            <w:noProof/>
            <w:webHidden/>
          </w:rPr>
          <w:tab/>
        </w:r>
        <w:r w:rsidR="00BC487C">
          <w:rPr>
            <w:noProof/>
            <w:webHidden/>
          </w:rPr>
          <w:fldChar w:fldCharType="begin"/>
        </w:r>
        <w:r w:rsidR="00BC487C">
          <w:rPr>
            <w:noProof/>
            <w:webHidden/>
          </w:rPr>
          <w:instrText xml:space="preserve"> PAGEREF _Toc524340607 \h </w:instrText>
        </w:r>
        <w:r w:rsidR="00BC487C">
          <w:rPr>
            <w:noProof/>
            <w:webHidden/>
          </w:rPr>
        </w:r>
        <w:r w:rsidR="00BC487C">
          <w:rPr>
            <w:noProof/>
            <w:webHidden/>
          </w:rPr>
          <w:fldChar w:fldCharType="separate"/>
        </w:r>
        <w:r w:rsidR="007277F5">
          <w:rPr>
            <w:noProof/>
            <w:webHidden/>
          </w:rPr>
          <w:t>21</w:t>
        </w:r>
        <w:r w:rsidR="00BC487C">
          <w:rPr>
            <w:noProof/>
            <w:webHidden/>
          </w:rPr>
          <w:fldChar w:fldCharType="end"/>
        </w:r>
      </w:hyperlink>
    </w:p>
    <w:p w14:paraId="6FD652E9" w14:textId="77777777" w:rsidR="00BC487C" w:rsidRDefault="00CF3EC9">
      <w:pPr>
        <w:pStyle w:val="TOC2"/>
        <w:tabs>
          <w:tab w:val="left" w:pos="880"/>
          <w:tab w:val="right" w:leader="dot" w:pos="9016"/>
        </w:tabs>
        <w:rPr>
          <w:rFonts w:eastAsiaTheme="minorEastAsia"/>
          <w:noProof/>
          <w:lang w:eastAsia="en-GB"/>
        </w:rPr>
      </w:pPr>
      <w:hyperlink w:anchor="_Toc524340608" w:history="1">
        <w:r w:rsidR="00BC487C" w:rsidRPr="009520F1">
          <w:rPr>
            <w:rStyle w:val="Hyperlink"/>
            <w:noProof/>
          </w:rPr>
          <w:t>6.6.</w:t>
        </w:r>
        <w:r w:rsidR="00BC487C">
          <w:rPr>
            <w:rFonts w:eastAsiaTheme="minorEastAsia"/>
            <w:noProof/>
            <w:lang w:eastAsia="en-GB"/>
          </w:rPr>
          <w:tab/>
        </w:r>
        <w:r w:rsidR="00BC487C" w:rsidRPr="009520F1">
          <w:rPr>
            <w:rStyle w:val="Hyperlink"/>
            <w:noProof/>
          </w:rPr>
          <w:t>Incentives towards smart technologies and skills (Article 2a(1)(f))</w:t>
        </w:r>
        <w:r w:rsidR="00BC487C">
          <w:rPr>
            <w:noProof/>
            <w:webHidden/>
          </w:rPr>
          <w:tab/>
        </w:r>
        <w:r w:rsidR="00BC487C">
          <w:rPr>
            <w:noProof/>
            <w:webHidden/>
          </w:rPr>
          <w:fldChar w:fldCharType="begin"/>
        </w:r>
        <w:r w:rsidR="00BC487C">
          <w:rPr>
            <w:noProof/>
            <w:webHidden/>
          </w:rPr>
          <w:instrText xml:space="preserve"> PAGEREF _Toc524340608 \h </w:instrText>
        </w:r>
        <w:r w:rsidR="00BC487C">
          <w:rPr>
            <w:noProof/>
            <w:webHidden/>
          </w:rPr>
        </w:r>
        <w:r w:rsidR="00BC487C">
          <w:rPr>
            <w:noProof/>
            <w:webHidden/>
          </w:rPr>
          <w:fldChar w:fldCharType="separate"/>
        </w:r>
        <w:r w:rsidR="007277F5">
          <w:rPr>
            <w:noProof/>
            <w:webHidden/>
          </w:rPr>
          <w:t>21</w:t>
        </w:r>
        <w:r w:rsidR="00BC487C">
          <w:rPr>
            <w:noProof/>
            <w:webHidden/>
          </w:rPr>
          <w:fldChar w:fldCharType="end"/>
        </w:r>
      </w:hyperlink>
    </w:p>
    <w:p w14:paraId="0C379501" w14:textId="77777777" w:rsidR="00BC487C" w:rsidRDefault="00CF3EC9">
      <w:pPr>
        <w:pStyle w:val="TOC3"/>
        <w:tabs>
          <w:tab w:val="left" w:pos="1320"/>
          <w:tab w:val="right" w:leader="dot" w:pos="9016"/>
        </w:tabs>
        <w:rPr>
          <w:rFonts w:eastAsiaTheme="minorEastAsia"/>
          <w:noProof/>
          <w:lang w:eastAsia="en-GB"/>
        </w:rPr>
      </w:pPr>
      <w:hyperlink w:anchor="_Toc524340609" w:history="1">
        <w:r w:rsidR="00BC487C" w:rsidRPr="009520F1">
          <w:rPr>
            <w:rStyle w:val="Hyperlink"/>
            <w:noProof/>
          </w:rPr>
          <w:t>6.6.1.</w:t>
        </w:r>
        <w:r w:rsidR="00BC487C">
          <w:rPr>
            <w:rFonts w:eastAsiaTheme="minorEastAsia"/>
            <w:noProof/>
            <w:lang w:eastAsia="en-GB"/>
          </w:rPr>
          <w:tab/>
        </w:r>
        <w:r w:rsidR="00BC487C" w:rsidRPr="009520F1">
          <w:rPr>
            <w:rStyle w:val="Hyperlink"/>
            <w:noProof/>
          </w:rPr>
          <w:t>Skills development schemes</w:t>
        </w:r>
        <w:r w:rsidR="00BC487C">
          <w:rPr>
            <w:noProof/>
            <w:webHidden/>
          </w:rPr>
          <w:tab/>
        </w:r>
        <w:r w:rsidR="00BC487C">
          <w:rPr>
            <w:noProof/>
            <w:webHidden/>
          </w:rPr>
          <w:fldChar w:fldCharType="begin"/>
        </w:r>
        <w:r w:rsidR="00BC487C">
          <w:rPr>
            <w:noProof/>
            <w:webHidden/>
          </w:rPr>
          <w:instrText xml:space="preserve"> PAGEREF _Toc524340609 \h </w:instrText>
        </w:r>
        <w:r w:rsidR="00BC487C">
          <w:rPr>
            <w:noProof/>
            <w:webHidden/>
          </w:rPr>
        </w:r>
        <w:r w:rsidR="00BC487C">
          <w:rPr>
            <w:noProof/>
            <w:webHidden/>
          </w:rPr>
          <w:fldChar w:fldCharType="separate"/>
        </w:r>
        <w:r w:rsidR="007277F5">
          <w:rPr>
            <w:noProof/>
            <w:webHidden/>
          </w:rPr>
          <w:t>21</w:t>
        </w:r>
        <w:r w:rsidR="00BC487C">
          <w:rPr>
            <w:noProof/>
            <w:webHidden/>
          </w:rPr>
          <w:fldChar w:fldCharType="end"/>
        </w:r>
      </w:hyperlink>
    </w:p>
    <w:p w14:paraId="4B5C119E" w14:textId="77777777" w:rsidR="00BC487C" w:rsidRDefault="00CF3EC9">
      <w:pPr>
        <w:pStyle w:val="TOC3"/>
        <w:tabs>
          <w:tab w:val="left" w:pos="1320"/>
          <w:tab w:val="right" w:leader="dot" w:pos="9016"/>
        </w:tabs>
        <w:rPr>
          <w:rFonts w:eastAsiaTheme="minorEastAsia"/>
          <w:noProof/>
          <w:lang w:eastAsia="en-GB"/>
        </w:rPr>
      </w:pPr>
      <w:hyperlink w:anchor="_Toc524340610" w:history="1">
        <w:r w:rsidR="00BC487C" w:rsidRPr="009520F1">
          <w:rPr>
            <w:rStyle w:val="Hyperlink"/>
            <w:noProof/>
          </w:rPr>
          <w:t>6.6.2.</w:t>
        </w:r>
        <w:r w:rsidR="00BC487C">
          <w:rPr>
            <w:rFonts w:eastAsiaTheme="minorEastAsia"/>
            <w:noProof/>
            <w:lang w:eastAsia="en-GB"/>
          </w:rPr>
          <w:tab/>
        </w:r>
        <w:r w:rsidR="00BC487C" w:rsidRPr="009520F1">
          <w:rPr>
            <w:rStyle w:val="Hyperlink"/>
            <w:noProof/>
          </w:rPr>
          <w:t>Training/certification for experts</w:t>
        </w:r>
        <w:r w:rsidR="00BC487C">
          <w:rPr>
            <w:noProof/>
            <w:webHidden/>
          </w:rPr>
          <w:tab/>
        </w:r>
        <w:r w:rsidR="00BC487C">
          <w:rPr>
            <w:noProof/>
            <w:webHidden/>
          </w:rPr>
          <w:fldChar w:fldCharType="begin"/>
        </w:r>
        <w:r w:rsidR="00BC487C">
          <w:rPr>
            <w:noProof/>
            <w:webHidden/>
          </w:rPr>
          <w:instrText xml:space="preserve"> PAGEREF _Toc524340610 \h </w:instrText>
        </w:r>
        <w:r w:rsidR="00BC487C">
          <w:rPr>
            <w:noProof/>
            <w:webHidden/>
          </w:rPr>
        </w:r>
        <w:r w:rsidR="00BC487C">
          <w:rPr>
            <w:noProof/>
            <w:webHidden/>
          </w:rPr>
          <w:fldChar w:fldCharType="separate"/>
        </w:r>
        <w:r w:rsidR="007277F5">
          <w:rPr>
            <w:noProof/>
            <w:webHidden/>
          </w:rPr>
          <w:t>22</w:t>
        </w:r>
        <w:r w:rsidR="00BC487C">
          <w:rPr>
            <w:noProof/>
            <w:webHidden/>
          </w:rPr>
          <w:fldChar w:fldCharType="end"/>
        </w:r>
      </w:hyperlink>
    </w:p>
    <w:p w14:paraId="261CB477" w14:textId="77777777" w:rsidR="00BC487C" w:rsidRDefault="00CF3EC9">
      <w:pPr>
        <w:pStyle w:val="TOC2"/>
        <w:tabs>
          <w:tab w:val="left" w:pos="880"/>
          <w:tab w:val="right" w:leader="dot" w:pos="9016"/>
        </w:tabs>
        <w:rPr>
          <w:rFonts w:eastAsiaTheme="minorEastAsia"/>
          <w:noProof/>
          <w:lang w:eastAsia="en-GB"/>
        </w:rPr>
      </w:pPr>
      <w:hyperlink w:anchor="_Toc524340611" w:history="1">
        <w:r w:rsidR="00BC487C" w:rsidRPr="009520F1">
          <w:rPr>
            <w:rStyle w:val="Hyperlink"/>
            <w:noProof/>
          </w:rPr>
          <w:t>6.7.</w:t>
        </w:r>
        <w:r w:rsidR="00BC487C">
          <w:rPr>
            <w:rFonts w:eastAsiaTheme="minorEastAsia"/>
            <w:noProof/>
            <w:lang w:eastAsia="en-GB"/>
          </w:rPr>
          <w:tab/>
        </w:r>
        <w:r w:rsidR="00BC487C" w:rsidRPr="009520F1">
          <w:rPr>
            <w:rStyle w:val="Hyperlink"/>
            <w:noProof/>
          </w:rPr>
          <w:t>Estimate of energy savings and wider benefits (Article 2a(1)(g))</w:t>
        </w:r>
        <w:r w:rsidR="00BC487C">
          <w:rPr>
            <w:noProof/>
            <w:webHidden/>
          </w:rPr>
          <w:tab/>
        </w:r>
        <w:r w:rsidR="00BC487C">
          <w:rPr>
            <w:noProof/>
            <w:webHidden/>
          </w:rPr>
          <w:fldChar w:fldCharType="begin"/>
        </w:r>
        <w:r w:rsidR="00BC487C">
          <w:rPr>
            <w:noProof/>
            <w:webHidden/>
          </w:rPr>
          <w:instrText xml:space="preserve"> PAGEREF _Toc524340611 \h </w:instrText>
        </w:r>
        <w:r w:rsidR="00BC487C">
          <w:rPr>
            <w:noProof/>
            <w:webHidden/>
          </w:rPr>
        </w:r>
        <w:r w:rsidR="00BC487C">
          <w:rPr>
            <w:noProof/>
            <w:webHidden/>
          </w:rPr>
          <w:fldChar w:fldCharType="separate"/>
        </w:r>
        <w:r w:rsidR="007277F5">
          <w:rPr>
            <w:noProof/>
            <w:webHidden/>
          </w:rPr>
          <w:t>22</w:t>
        </w:r>
        <w:r w:rsidR="00BC487C">
          <w:rPr>
            <w:noProof/>
            <w:webHidden/>
          </w:rPr>
          <w:fldChar w:fldCharType="end"/>
        </w:r>
      </w:hyperlink>
    </w:p>
    <w:p w14:paraId="3643F972" w14:textId="77777777" w:rsidR="00BC487C" w:rsidRDefault="00CF3EC9">
      <w:pPr>
        <w:pStyle w:val="TOC2"/>
        <w:tabs>
          <w:tab w:val="left" w:pos="880"/>
          <w:tab w:val="right" w:leader="dot" w:pos="9016"/>
        </w:tabs>
        <w:rPr>
          <w:rFonts w:eastAsiaTheme="minorEastAsia"/>
          <w:noProof/>
          <w:lang w:eastAsia="en-GB"/>
        </w:rPr>
      </w:pPr>
      <w:hyperlink w:anchor="_Toc524340612" w:history="1">
        <w:r w:rsidR="00BC487C" w:rsidRPr="009520F1">
          <w:rPr>
            <w:rStyle w:val="Hyperlink"/>
            <w:noProof/>
          </w:rPr>
          <w:t>6.8.</w:t>
        </w:r>
        <w:r w:rsidR="00BC487C">
          <w:rPr>
            <w:rFonts w:eastAsiaTheme="minorEastAsia"/>
            <w:noProof/>
            <w:lang w:eastAsia="en-GB"/>
          </w:rPr>
          <w:tab/>
        </w:r>
        <w:r w:rsidR="00BC487C" w:rsidRPr="009520F1">
          <w:rPr>
            <w:rStyle w:val="Hyperlink"/>
            <w:noProof/>
          </w:rPr>
          <w:t>Mechanisms to support the mobilisation of investments (Article 2a(3))</w:t>
        </w:r>
        <w:r w:rsidR="00BC487C">
          <w:rPr>
            <w:noProof/>
            <w:webHidden/>
          </w:rPr>
          <w:tab/>
        </w:r>
        <w:r w:rsidR="00BC487C">
          <w:rPr>
            <w:noProof/>
            <w:webHidden/>
          </w:rPr>
          <w:fldChar w:fldCharType="begin"/>
        </w:r>
        <w:r w:rsidR="00BC487C">
          <w:rPr>
            <w:noProof/>
            <w:webHidden/>
          </w:rPr>
          <w:instrText xml:space="preserve"> PAGEREF _Toc524340612 \h </w:instrText>
        </w:r>
        <w:r w:rsidR="00BC487C">
          <w:rPr>
            <w:noProof/>
            <w:webHidden/>
          </w:rPr>
        </w:r>
        <w:r w:rsidR="00BC487C">
          <w:rPr>
            <w:noProof/>
            <w:webHidden/>
          </w:rPr>
          <w:fldChar w:fldCharType="separate"/>
        </w:r>
        <w:r w:rsidR="007277F5">
          <w:rPr>
            <w:noProof/>
            <w:webHidden/>
          </w:rPr>
          <w:t>22</w:t>
        </w:r>
        <w:r w:rsidR="00BC487C">
          <w:rPr>
            <w:noProof/>
            <w:webHidden/>
          </w:rPr>
          <w:fldChar w:fldCharType="end"/>
        </w:r>
      </w:hyperlink>
    </w:p>
    <w:p w14:paraId="68C55770" w14:textId="77777777" w:rsidR="00BC487C" w:rsidRDefault="00CF3EC9">
      <w:pPr>
        <w:pStyle w:val="TOC3"/>
        <w:tabs>
          <w:tab w:val="left" w:pos="1320"/>
          <w:tab w:val="right" w:leader="dot" w:pos="9016"/>
        </w:tabs>
        <w:rPr>
          <w:rFonts w:eastAsiaTheme="minorEastAsia"/>
          <w:noProof/>
          <w:lang w:eastAsia="en-GB"/>
        </w:rPr>
      </w:pPr>
      <w:hyperlink w:anchor="_Toc524340613" w:history="1">
        <w:r w:rsidR="00BC487C" w:rsidRPr="009520F1">
          <w:rPr>
            <w:rStyle w:val="Hyperlink"/>
            <w:noProof/>
          </w:rPr>
          <w:t>6.8.1.</w:t>
        </w:r>
        <w:r w:rsidR="00BC487C">
          <w:rPr>
            <w:rFonts w:eastAsiaTheme="minorEastAsia"/>
            <w:noProof/>
            <w:lang w:eastAsia="en-GB"/>
          </w:rPr>
          <w:tab/>
        </w:r>
        <w:r w:rsidR="00BC487C" w:rsidRPr="009520F1">
          <w:rPr>
            <w:rStyle w:val="Hyperlink"/>
            <w:noProof/>
          </w:rPr>
          <w:t>aggregation of projects</w:t>
        </w:r>
        <w:r w:rsidR="00BC487C">
          <w:rPr>
            <w:noProof/>
            <w:webHidden/>
          </w:rPr>
          <w:tab/>
        </w:r>
        <w:r w:rsidR="00BC487C">
          <w:rPr>
            <w:noProof/>
            <w:webHidden/>
          </w:rPr>
          <w:fldChar w:fldCharType="begin"/>
        </w:r>
        <w:r w:rsidR="00BC487C">
          <w:rPr>
            <w:noProof/>
            <w:webHidden/>
          </w:rPr>
          <w:instrText xml:space="preserve"> PAGEREF _Toc524340613 \h </w:instrText>
        </w:r>
        <w:r w:rsidR="00BC487C">
          <w:rPr>
            <w:noProof/>
            <w:webHidden/>
          </w:rPr>
        </w:r>
        <w:r w:rsidR="00BC487C">
          <w:rPr>
            <w:noProof/>
            <w:webHidden/>
          </w:rPr>
          <w:fldChar w:fldCharType="separate"/>
        </w:r>
        <w:r w:rsidR="007277F5">
          <w:rPr>
            <w:noProof/>
            <w:webHidden/>
          </w:rPr>
          <w:t>23</w:t>
        </w:r>
        <w:r w:rsidR="00BC487C">
          <w:rPr>
            <w:noProof/>
            <w:webHidden/>
          </w:rPr>
          <w:fldChar w:fldCharType="end"/>
        </w:r>
      </w:hyperlink>
    </w:p>
    <w:p w14:paraId="75B85966" w14:textId="77777777" w:rsidR="00BC487C" w:rsidRDefault="00CF3EC9">
      <w:pPr>
        <w:pStyle w:val="TOC3"/>
        <w:tabs>
          <w:tab w:val="left" w:pos="1320"/>
          <w:tab w:val="right" w:leader="dot" w:pos="9016"/>
        </w:tabs>
        <w:rPr>
          <w:rFonts w:eastAsiaTheme="minorEastAsia"/>
          <w:noProof/>
          <w:lang w:eastAsia="en-GB"/>
        </w:rPr>
      </w:pPr>
      <w:hyperlink w:anchor="_Toc524340614" w:history="1">
        <w:r w:rsidR="00BC487C" w:rsidRPr="009520F1">
          <w:rPr>
            <w:rStyle w:val="Hyperlink"/>
            <w:noProof/>
          </w:rPr>
          <w:t>6.8.2.</w:t>
        </w:r>
        <w:r w:rsidR="00BC487C">
          <w:rPr>
            <w:rFonts w:eastAsiaTheme="minorEastAsia"/>
            <w:noProof/>
            <w:lang w:eastAsia="en-GB"/>
          </w:rPr>
          <w:tab/>
        </w:r>
        <w:r w:rsidR="00BC487C" w:rsidRPr="009520F1">
          <w:rPr>
            <w:rStyle w:val="Hyperlink"/>
            <w:noProof/>
          </w:rPr>
          <w:t>reduction of the perceived risk of energy efficiency operations</w:t>
        </w:r>
        <w:r w:rsidR="00BC487C">
          <w:rPr>
            <w:noProof/>
            <w:webHidden/>
          </w:rPr>
          <w:tab/>
        </w:r>
        <w:r w:rsidR="00BC487C">
          <w:rPr>
            <w:noProof/>
            <w:webHidden/>
          </w:rPr>
          <w:fldChar w:fldCharType="begin"/>
        </w:r>
        <w:r w:rsidR="00BC487C">
          <w:rPr>
            <w:noProof/>
            <w:webHidden/>
          </w:rPr>
          <w:instrText xml:space="preserve"> PAGEREF _Toc524340614 \h </w:instrText>
        </w:r>
        <w:r w:rsidR="00BC487C">
          <w:rPr>
            <w:noProof/>
            <w:webHidden/>
          </w:rPr>
        </w:r>
        <w:r w:rsidR="00BC487C">
          <w:rPr>
            <w:noProof/>
            <w:webHidden/>
          </w:rPr>
          <w:fldChar w:fldCharType="separate"/>
        </w:r>
        <w:r w:rsidR="007277F5">
          <w:rPr>
            <w:noProof/>
            <w:webHidden/>
          </w:rPr>
          <w:t>23</w:t>
        </w:r>
        <w:r w:rsidR="00BC487C">
          <w:rPr>
            <w:noProof/>
            <w:webHidden/>
          </w:rPr>
          <w:fldChar w:fldCharType="end"/>
        </w:r>
      </w:hyperlink>
    </w:p>
    <w:p w14:paraId="3C4A859B" w14:textId="77777777" w:rsidR="00BC487C" w:rsidRDefault="00CF3EC9">
      <w:pPr>
        <w:pStyle w:val="TOC3"/>
        <w:tabs>
          <w:tab w:val="left" w:pos="1320"/>
          <w:tab w:val="right" w:leader="dot" w:pos="9016"/>
        </w:tabs>
        <w:rPr>
          <w:rFonts w:eastAsiaTheme="minorEastAsia"/>
          <w:noProof/>
          <w:lang w:eastAsia="en-GB"/>
        </w:rPr>
      </w:pPr>
      <w:hyperlink w:anchor="_Toc524340615" w:history="1">
        <w:r w:rsidR="00BC487C" w:rsidRPr="009520F1">
          <w:rPr>
            <w:rStyle w:val="Hyperlink"/>
            <w:noProof/>
          </w:rPr>
          <w:t>6.8.3.</w:t>
        </w:r>
        <w:r w:rsidR="00BC487C">
          <w:rPr>
            <w:rFonts w:eastAsiaTheme="minorEastAsia"/>
            <w:noProof/>
            <w:lang w:eastAsia="en-GB"/>
          </w:rPr>
          <w:tab/>
        </w:r>
        <w:r w:rsidR="00BC487C" w:rsidRPr="009520F1">
          <w:rPr>
            <w:rStyle w:val="Hyperlink"/>
            <w:noProof/>
          </w:rPr>
          <w:t>public funding to leverage private-sector investment or address market failures</w:t>
        </w:r>
        <w:r w:rsidR="00BC487C">
          <w:rPr>
            <w:noProof/>
            <w:webHidden/>
          </w:rPr>
          <w:tab/>
        </w:r>
        <w:r w:rsidR="00BC487C">
          <w:rPr>
            <w:noProof/>
            <w:webHidden/>
          </w:rPr>
          <w:fldChar w:fldCharType="begin"/>
        </w:r>
        <w:r w:rsidR="00BC487C">
          <w:rPr>
            <w:noProof/>
            <w:webHidden/>
          </w:rPr>
          <w:instrText xml:space="preserve"> PAGEREF _Toc524340615 \h </w:instrText>
        </w:r>
        <w:r w:rsidR="00BC487C">
          <w:rPr>
            <w:noProof/>
            <w:webHidden/>
          </w:rPr>
        </w:r>
        <w:r w:rsidR="00BC487C">
          <w:rPr>
            <w:noProof/>
            <w:webHidden/>
          </w:rPr>
          <w:fldChar w:fldCharType="separate"/>
        </w:r>
        <w:r w:rsidR="007277F5">
          <w:rPr>
            <w:noProof/>
            <w:webHidden/>
          </w:rPr>
          <w:t>23</w:t>
        </w:r>
        <w:r w:rsidR="00BC487C">
          <w:rPr>
            <w:noProof/>
            <w:webHidden/>
          </w:rPr>
          <w:fldChar w:fldCharType="end"/>
        </w:r>
      </w:hyperlink>
    </w:p>
    <w:p w14:paraId="11F46659" w14:textId="77777777" w:rsidR="00BC487C" w:rsidRDefault="00CF3EC9">
      <w:pPr>
        <w:pStyle w:val="TOC3"/>
        <w:tabs>
          <w:tab w:val="left" w:pos="1320"/>
          <w:tab w:val="right" w:leader="dot" w:pos="9016"/>
        </w:tabs>
        <w:rPr>
          <w:rFonts w:eastAsiaTheme="minorEastAsia"/>
          <w:noProof/>
          <w:lang w:eastAsia="en-GB"/>
        </w:rPr>
      </w:pPr>
      <w:hyperlink w:anchor="_Toc524340616" w:history="1">
        <w:r w:rsidR="00BC487C" w:rsidRPr="009520F1">
          <w:rPr>
            <w:rStyle w:val="Hyperlink"/>
            <w:noProof/>
          </w:rPr>
          <w:t>6.8.4.</w:t>
        </w:r>
        <w:r w:rsidR="00BC487C">
          <w:rPr>
            <w:rFonts w:eastAsiaTheme="minorEastAsia"/>
            <w:noProof/>
            <w:lang w:eastAsia="en-GB"/>
          </w:rPr>
          <w:tab/>
        </w:r>
        <w:r w:rsidR="00BC487C" w:rsidRPr="009520F1">
          <w:rPr>
            <w:rStyle w:val="Hyperlink"/>
            <w:noProof/>
          </w:rPr>
          <w:t>guiding investments into an energy efficient public building stock;</w:t>
        </w:r>
        <w:r w:rsidR="00BC487C">
          <w:rPr>
            <w:noProof/>
            <w:webHidden/>
          </w:rPr>
          <w:tab/>
        </w:r>
        <w:r w:rsidR="00BC487C">
          <w:rPr>
            <w:noProof/>
            <w:webHidden/>
          </w:rPr>
          <w:fldChar w:fldCharType="begin"/>
        </w:r>
        <w:r w:rsidR="00BC487C">
          <w:rPr>
            <w:noProof/>
            <w:webHidden/>
          </w:rPr>
          <w:instrText xml:space="preserve"> PAGEREF _Toc524340616 \h </w:instrText>
        </w:r>
        <w:r w:rsidR="00BC487C">
          <w:rPr>
            <w:noProof/>
            <w:webHidden/>
          </w:rPr>
        </w:r>
        <w:r w:rsidR="00BC487C">
          <w:rPr>
            <w:noProof/>
            <w:webHidden/>
          </w:rPr>
          <w:fldChar w:fldCharType="separate"/>
        </w:r>
        <w:r w:rsidR="007277F5">
          <w:rPr>
            <w:noProof/>
            <w:webHidden/>
          </w:rPr>
          <w:t>24</w:t>
        </w:r>
        <w:r w:rsidR="00BC487C">
          <w:rPr>
            <w:noProof/>
            <w:webHidden/>
          </w:rPr>
          <w:fldChar w:fldCharType="end"/>
        </w:r>
      </w:hyperlink>
    </w:p>
    <w:p w14:paraId="68073268" w14:textId="77777777" w:rsidR="00BC487C" w:rsidRDefault="00CF3EC9">
      <w:pPr>
        <w:pStyle w:val="TOC3"/>
        <w:tabs>
          <w:tab w:val="left" w:pos="1320"/>
          <w:tab w:val="right" w:leader="dot" w:pos="9016"/>
        </w:tabs>
        <w:rPr>
          <w:rFonts w:eastAsiaTheme="minorEastAsia"/>
          <w:noProof/>
          <w:lang w:eastAsia="en-GB"/>
        </w:rPr>
      </w:pPr>
      <w:hyperlink w:anchor="_Toc524340617" w:history="1">
        <w:r w:rsidR="00BC487C" w:rsidRPr="009520F1">
          <w:rPr>
            <w:rStyle w:val="Hyperlink"/>
            <w:noProof/>
          </w:rPr>
          <w:t>6.8.5.</w:t>
        </w:r>
        <w:r w:rsidR="00BC487C">
          <w:rPr>
            <w:rFonts w:eastAsiaTheme="minorEastAsia"/>
            <w:noProof/>
            <w:lang w:eastAsia="en-GB"/>
          </w:rPr>
          <w:tab/>
        </w:r>
        <w:r w:rsidR="00BC487C" w:rsidRPr="009520F1">
          <w:rPr>
            <w:rStyle w:val="Hyperlink"/>
            <w:noProof/>
          </w:rPr>
          <w:t>accessible and transparent advisory tools</w:t>
        </w:r>
        <w:r w:rsidR="00BC487C">
          <w:rPr>
            <w:noProof/>
            <w:webHidden/>
          </w:rPr>
          <w:tab/>
        </w:r>
        <w:r w:rsidR="00BC487C">
          <w:rPr>
            <w:noProof/>
            <w:webHidden/>
          </w:rPr>
          <w:fldChar w:fldCharType="begin"/>
        </w:r>
        <w:r w:rsidR="00BC487C">
          <w:rPr>
            <w:noProof/>
            <w:webHidden/>
          </w:rPr>
          <w:instrText xml:space="preserve"> PAGEREF _Toc524340617 \h </w:instrText>
        </w:r>
        <w:r w:rsidR="00BC487C">
          <w:rPr>
            <w:noProof/>
            <w:webHidden/>
          </w:rPr>
        </w:r>
        <w:r w:rsidR="00BC487C">
          <w:rPr>
            <w:noProof/>
            <w:webHidden/>
          </w:rPr>
          <w:fldChar w:fldCharType="separate"/>
        </w:r>
        <w:r w:rsidR="007277F5">
          <w:rPr>
            <w:noProof/>
            <w:webHidden/>
          </w:rPr>
          <w:t>24</w:t>
        </w:r>
        <w:r w:rsidR="00BC487C">
          <w:rPr>
            <w:noProof/>
            <w:webHidden/>
          </w:rPr>
          <w:fldChar w:fldCharType="end"/>
        </w:r>
      </w:hyperlink>
    </w:p>
    <w:p w14:paraId="7725A3F5" w14:textId="77777777" w:rsidR="00BC487C" w:rsidRDefault="00CF3EC9">
      <w:pPr>
        <w:pStyle w:val="TOC2"/>
        <w:tabs>
          <w:tab w:val="left" w:pos="880"/>
          <w:tab w:val="right" w:leader="dot" w:pos="9016"/>
        </w:tabs>
        <w:rPr>
          <w:rFonts w:eastAsiaTheme="minorEastAsia"/>
          <w:noProof/>
          <w:lang w:eastAsia="en-GB"/>
        </w:rPr>
      </w:pPr>
      <w:hyperlink w:anchor="_Toc524340618" w:history="1">
        <w:r w:rsidR="00BC487C" w:rsidRPr="009520F1">
          <w:rPr>
            <w:rStyle w:val="Hyperlink"/>
            <w:noProof/>
          </w:rPr>
          <w:t>6.9.</w:t>
        </w:r>
        <w:r w:rsidR="00BC487C">
          <w:rPr>
            <w:rFonts w:eastAsiaTheme="minorEastAsia"/>
            <w:noProof/>
            <w:lang w:eastAsia="en-GB"/>
          </w:rPr>
          <w:tab/>
        </w:r>
        <w:r w:rsidR="00BC487C" w:rsidRPr="009520F1">
          <w:rPr>
            <w:rStyle w:val="Hyperlink"/>
            <w:noProof/>
          </w:rPr>
          <w:t>Public consultation</w:t>
        </w:r>
        <w:r w:rsidR="00BC487C">
          <w:rPr>
            <w:noProof/>
            <w:webHidden/>
          </w:rPr>
          <w:tab/>
        </w:r>
        <w:r w:rsidR="00BC487C">
          <w:rPr>
            <w:noProof/>
            <w:webHidden/>
          </w:rPr>
          <w:fldChar w:fldCharType="begin"/>
        </w:r>
        <w:r w:rsidR="00BC487C">
          <w:rPr>
            <w:noProof/>
            <w:webHidden/>
          </w:rPr>
          <w:instrText xml:space="preserve"> PAGEREF _Toc524340618 \h </w:instrText>
        </w:r>
        <w:r w:rsidR="00BC487C">
          <w:rPr>
            <w:noProof/>
            <w:webHidden/>
          </w:rPr>
        </w:r>
        <w:r w:rsidR="00BC487C">
          <w:rPr>
            <w:noProof/>
            <w:webHidden/>
          </w:rPr>
          <w:fldChar w:fldCharType="separate"/>
        </w:r>
        <w:r w:rsidR="007277F5">
          <w:rPr>
            <w:noProof/>
            <w:webHidden/>
          </w:rPr>
          <w:t>25</w:t>
        </w:r>
        <w:r w:rsidR="00BC487C">
          <w:rPr>
            <w:noProof/>
            <w:webHidden/>
          </w:rPr>
          <w:fldChar w:fldCharType="end"/>
        </w:r>
      </w:hyperlink>
    </w:p>
    <w:p w14:paraId="04BED8A0" w14:textId="77777777" w:rsidR="004C6835" w:rsidRPr="001122B7" w:rsidRDefault="004D4B49" w:rsidP="00000176">
      <w:pPr>
        <w:spacing w:after="120"/>
        <w:jc w:val="center"/>
        <w:rPr>
          <w:rFonts w:ascii="Times New Roman" w:hAnsi="Times New Roman" w:cs="Times New Roman"/>
          <w:b/>
          <w:sz w:val="24"/>
          <w:szCs w:val="24"/>
        </w:rPr>
      </w:pPr>
      <w:r w:rsidRPr="001122B7">
        <w:rPr>
          <w:rFonts w:ascii="Times New Roman" w:hAnsi="Times New Roman" w:cs="Times New Roman"/>
          <w:b/>
          <w:sz w:val="24"/>
          <w:szCs w:val="24"/>
        </w:rPr>
        <w:fldChar w:fldCharType="end"/>
      </w:r>
    </w:p>
    <w:p w14:paraId="288922E8" w14:textId="77777777" w:rsidR="004C6835" w:rsidRPr="00000176" w:rsidRDefault="004C6835" w:rsidP="00000176">
      <w:pPr>
        <w:spacing w:after="120"/>
        <w:rPr>
          <w:rFonts w:ascii="Times New Roman" w:hAnsi="Times New Roman" w:cs="Times New Roman"/>
          <w:b/>
          <w:sz w:val="24"/>
          <w:szCs w:val="24"/>
        </w:rPr>
      </w:pPr>
      <w:r w:rsidRPr="00000176">
        <w:rPr>
          <w:rFonts w:ascii="Times New Roman" w:hAnsi="Times New Roman" w:cs="Times New Roman"/>
          <w:b/>
          <w:sz w:val="24"/>
          <w:szCs w:val="24"/>
        </w:rPr>
        <w:br w:type="page"/>
      </w:r>
    </w:p>
    <w:p w14:paraId="300CDB46" w14:textId="77777777" w:rsidR="00DD0BDF" w:rsidRPr="00000176" w:rsidRDefault="00465BEE" w:rsidP="00000176">
      <w:pPr>
        <w:spacing w:after="120"/>
        <w:jc w:val="center"/>
        <w:rPr>
          <w:rFonts w:ascii="Times New Roman" w:hAnsi="Times New Roman" w:cs="Times New Roman"/>
          <w:b/>
          <w:sz w:val="24"/>
          <w:szCs w:val="24"/>
        </w:rPr>
      </w:pPr>
      <w:r w:rsidRPr="00000176">
        <w:rPr>
          <w:rFonts w:ascii="Times New Roman" w:hAnsi="Times New Roman" w:cs="Times New Roman"/>
          <w:b/>
          <w:sz w:val="24"/>
          <w:szCs w:val="24"/>
        </w:rPr>
        <w:lastRenderedPageBreak/>
        <w:t>Article 2a</w:t>
      </w:r>
    </w:p>
    <w:p w14:paraId="7844E0B9" w14:textId="77777777" w:rsidR="004C6835" w:rsidRPr="00000176" w:rsidRDefault="00465BEE" w:rsidP="00000176">
      <w:pPr>
        <w:spacing w:after="120"/>
        <w:jc w:val="center"/>
        <w:rPr>
          <w:rFonts w:ascii="Times New Roman" w:hAnsi="Times New Roman" w:cs="Times New Roman"/>
          <w:b/>
          <w:sz w:val="24"/>
          <w:szCs w:val="24"/>
        </w:rPr>
      </w:pPr>
      <w:r w:rsidRPr="00000176">
        <w:rPr>
          <w:rFonts w:ascii="Times New Roman" w:hAnsi="Times New Roman" w:cs="Times New Roman"/>
          <w:b/>
          <w:sz w:val="24"/>
          <w:szCs w:val="24"/>
        </w:rPr>
        <w:t>Long-term Renovation Strategies</w:t>
      </w:r>
    </w:p>
    <w:p w14:paraId="056E0050" w14:textId="77777777" w:rsidR="00663D61" w:rsidRPr="00000176" w:rsidRDefault="00663D61" w:rsidP="00000176">
      <w:pPr>
        <w:spacing w:after="120"/>
        <w:rPr>
          <w:rFonts w:ascii="Times New Roman" w:hAnsi="Times New Roman" w:cs="Times New Roman"/>
          <w:sz w:val="24"/>
          <w:szCs w:val="24"/>
        </w:rPr>
      </w:pPr>
    </w:p>
    <w:p w14:paraId="680EAE23" w14:textId="77777777" w:rsidR="00551424" w:rsidRDefault="00551424" w:rsidP="00AF1EDF">
      <w:pPr>
        <w:pStyle w:val="Heading1"/>
        <w:spacing w:before="0" w:after="0" w:line="276" w:lineRule="auto"/>
        <w:rPr>
          <w:szCs w:val="24"/>
        </w:rPr>
      </w:pPr>
      <w:bookmarkStart w:id="1" w:name="_Toc524340581"/>
      <w:r w:rsidRPr="00000176">
        <w:rPr>
          <w:szCs w:val="24"/>
        </w:rPr>
        <w:t>I</w:t>
      </w:r>
      <w:bookmarkEnd w:id="0"/>
      <w:r w:rsidR="006E45AE" w:rsidRPr="00000176">
        <w:rPr>
          <w:szCs w:val="24"/>
        </w:rPr>
        <w:t>NTRODUCTION</w:t>
      </w:r>
      <w:bookmarkEnd w:id="1"/>
    </w:p>
    <w:p w14:paraId="2518962B" w14:textId="77777777" w:rsidR="00AF1EDF" w:rsidRPr="00AF1EDF" w:rsidRDefault="00AF1EDF" w:rsidP="00AF1EDF">
      <w:pPr>
        <w:spacing w:after="0"/>
        <w:rPr>
          <w:lang w:eastAsia="fr-BE"/>
        </w:rPr>
      </w:pPr>
    </w:p>
    <w:p w14:paraId="163B73F2" w14:textId="7FB140C6" w:rsidR="00DD0BDF" w:rsidRDefault="00465BEE"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Article 1 of </w:t>
      </w:r>
      <w:r w:rsidRPr="00000176">
        <w:rPr>
          <w:rFonts w:ascii="Times New Roman" w:hAnsi="Times New Roman" w:cs="Times New Roman"/>
          <w:b/>
          <w:sz w:val="24"/>
          <w:szCs w:val="24"/>
        </w:rPr>
        <w:t xml:space="preserve">Directive </w:t>
      </w:r>
      <w:r w:rsidR="00A474BB" w:rsidRPr="00000176">
        <w:rPr>
          <w:rFonts w:ascii="Times New Roman" w:hAnsi="Times New Roman" w:cs="Times New Roman"/>
          <w:b/>
          <w:sz w:val="24"/>
          <w:szCs w:val="24"/>
        </w:rPr>
        <w:t xml:space="preserve">(EU) </w:t>
      </w:r>
      <w:r w:rsidRPr="00000176">
        <w:rPr>
          <w:rFonts w:ascii="Times New Roman" w:hAnsi="Times New Roman" w:cs="Times New Roman"/>
          <w:b/>
          <w:sz w:val="24"/>
          <w:szCs w:val="24"/>
        </w:rPr>
        <w:t>2018/</w:t>
      </w:r>
      <w:r w:rsidR="00A474BB" w:rsidRPr="00000176">
        <w:rPr>
          <w:rFonts w:ascii="Times New Roman" w:hAnsi="Times New Roman" w:cs="Times New Roman"/>
          <w:b/>
          <w:sz w:val="24"/>
          <w:szCs w:val="24"/>
        </w:rPr>
        <w:t>844</w:t>
      </w:r>
      <w:r w:rsidRPr="00000176">
        <w:rPr>
          <w:rFonts w:ascii="Times New Roman" w:hAnsi="Times New Roman" w:cs="Times New Roman"/>
          <w:b/>
          <w:sz w:val="24"/>
          <w:szCs w:val="24"/>
        </w:rPr>
        <w:t xml:space="preserve"> </w:t>
      </w:r>
      <w:r w:rsidR="00A474BB" w:rsidRPr="00000176">
        <w:rPr>
          <w:rFonts w:ascii="Times New Roman" w:hAnsi="Times New Roman" w:cs="Times New Roman"/>
          <w:b/>
          <w:sz w:val="24"/>
          <w:szCs w:val="24"/>
        </w:rPr>
        <w:t>amend</w:t>
      </w:r>
      <w:r w:rsidRPr="00000176">
        <w:rPr>
          <w:rFonts w:ascii="Times New Roman" w:hAnsi="Times New Roman" w:cs="Times New Roman"/>
          <w:b/>
          <w:sz w:val="24"/>
          <w:szCs w:val="24"/>
        </w:rPr>
        <w:t>ing Directive 2010/31/EU on the energy performance</w:t>
      </w:r>
      <w:r w:rsidRPr="00000176">
        <w:rPr>
          <w:rFonts w:ascii="Times New Roman" w:hAnsi="Times New Roman" w:cs="Times New Roman"/>
          <w:sz w:val="24"/>
          <w:szCs w:val="24"/>
        </w:rPr>
        <w:t xml:space="preserve"> </w:t>
      </w:r>
      <w:r w:rsidRPr="00B879D5">
        <w:rPr>
          <w:rFonts w:ascii="Times New Roman" w:hAnsi="Times New Roman" w:cs="Times New Roman"/>
          <w:b/>
          <w:sz w:val="24"/>
          <w:szCs w:val="24"/>
        </w:rPr>
        <w:t>of buildings</w:t>
      </w:r>
      <w:r w:rsidR="00EF1757" w:rsidRPr="00424530">
        <w:rPr>
          <w:rStyle w:val="FootnoteReference"/>
          <w:rFonts w:ascii="Times New Roman" w:hAnsi="Times New Roman" w:cs="Times New Roman"/>
          <w:sz w:val="24"/>
          <w:szCs w:val="24"/>
        </w:rPr>
        <w:footnoteReference w:id="1"/>
      </w:r>
      <w:r w:rsidRPr="00000176">
        <w:rPr>
          <w:rFonts w:ascii="Times New Roman" w:hAnsi="Times New Roman" w:cs="Times New Roman"/>
          <w:sz w:val="24"/>
          <w:szCs w:val="24"/>
        </w:rPr>
        <w:t xml:space="preserve"> introduces a </w:t>
      </w:r>
      <w:r w:rsidR="00EA4CB5" w:rsidRPr="00000176">
        <w:rPr>
          <w:rFonts w:ascii="Times New Roman" w:hAnsi="Times New Roman" w:cs="Times New Roman"/>
          <w:sz w:val="24"/>
          <w:szCs w:val="24"/>
        </w:rPr>
        <w:t xml:space="preserve">new </w:t>
      </w:r>
      <w:r w:rsidRPr="00000176">
        <w:rPr>
          <w:rFonts w:ascii="Times New Roman" w:hAnsi="Times New Roman" w:cs="Times New Roman"/>
          <w:sz w:val="24"/>
          <w:szCs w:val="24"/>
        </w:rPr>
        <w:t>provision</w:t>
      </w:r>
      <w:r w:rsidR="004E04D5" w:rsidRPr="00000176">
        <w:rPr>
          <w:rFonts w:ascii="Times New Roman" w:hAnsi="Times New Roman" w:cs="Times New Roman"/>
          <w:sz w:val="24"/>
          <w:szCs w:val="24"/>
        </w:rPr>
        <w:t>, Article 2a,</w:t>
      </w:r>
      <w:r w:rsidRPr="00000176">
        <w:rPr>
          <w:rFonts w:ascii="Times New Roman" w:hAnsi="Times New Roman" w:cs="Times New Roman"/>
          <w:sz w:val="24"/>
          <w:szCs w:val="24"/>
        </w:rPr>
        <w:t xml:space="preserve"> related to long</w:t>
      </w:r>
      <w:r w:rsidR="009C29F1" w:rsidRPr="00000176">
        <w:rPr>
          <w:rFonts w:ascii="Times New Roman" w:hAnsi="Times New Roman" w:cs="Times New Roman"/>
          <w:sz w:val="24"/>
          <w:szCs w:val="24"/>
        </w:rPr>
        <w:t>-</w:t>
      </w:r>
      <w:r w:rsidRPr="00000176">
        <w:rPr>
          <w:rFonts w:ascii="Times New Roman" w:hAnsi="Times New Roman" w:cs="Times New Roman"/>
          <w:sz w:val="24"/>
          <w:szCs w:val="24"/>
        </w:rPr>
        <w:t>term renovation strategies (hereafter referred to as "LTRS") into Directive 2010/31/EU</w:t>
      </w:r>
      <w:r w:rsidR="00C5459E" w:rsidRPr="00000176">
        <w:rPr>
          <w:rStyle w:val="FootnoteReference"/>
          <w:rFonts w:ascii="Times New Roman" w:hAnsi="Times New Roman" w:cs="Times New Roman"/>
          <w:b/>
          <w:sz w:val="24"/>
          <w:szCs w:val="24"/>
        </w:rPr>
        <w:footnoteReference w:id="2"/>
      </w:r>
      <w:r w:rsidRPr="00000176">
        <w:rPr>
          <w:rFonts w:ascii="Times New Roman" w:hAnsi="Times New Roman" w:cs="Times New Roman"/>
          <w:sz w:val="24"/>
          <w:szCs w:val="24"/>
        </w:rPr>
        <w:t xml:space="preserve"> (hereafter also "the</w:t>
      </w:r>
      <w:r w:rsidR="00A474BB" w:rsidRPr="00000176">
        <w:rPr>
          <w:rFonts w:ascii="Times New Roman" w:hAnsi="Times New Roman" w:cs="Times New Roman"/>
          <w:sz w:val="24"/>
          <w:szCs w:val="24"/>
        </w:rPr>
        <w:t xml:space="preserve"> revised</w:t>
      </w:r>
      <w:r w:rsidRPr="00000176">
        <w:rPr>
          <w:rFonts w:ascii="Times New Roman" w:hAnsi="Times New Roman" w:cs="Times New Roman"/>
          <w:sz w:val="24"/>
          <w:szCs w:val="24"/>
        </w:rPr>
        <w:t xml:space="preserve"> EPBD" or "the </w:t>
      </w:r>
      <w:r w:rsidR="00A474BB" w:rsidRPr="00000176">
        <w:rPr>
          <w:rFonts w:ascii="Times New Roman" w:hAnsi="Times New Roman" w:cs="Times New Roman"/>
          <w:sz w:val="24"/>
          <w:szCs w:val="24"/>
        </w:rPr>
        <w:t xml:space="preserve">revised </w:t>
      </w:r>
      <w:r w:rsidRPr="00000176">
        <w:rPr>
          <w:rFonts w:ascii="Times New Roman" w:hAnsi="Times New Roman" w:cs="Times New Roman"/>
          <w:sz w:val="24"/>
          <w:szCs w:val="24"/>
        </w:rPr>
        <w:t>Directive")</w:t>
      </w:r>
      <w:r w:rsidR="005A2EDF">
        <w:rPr>
          <w:rFonts w:ascii="Times New Roman" w:hAnsi="Times New Roman" w:cs="Times New Roman"/>
          <w:sz w:val="24"/>
          <w:szCs w:val="24"/>
        </w:rPr>
        <w:t xml:space="preserve">, replacing </w:t>
      </w:r>
      <w:r w:rsidR="005A2EDF" w:rsidRPr="00000176">
        <w:rPr>
          <w:rFonts w:ascii="Times New Roman" w:hAnsi="Times New Roman" w:cs="Times New Roman"/>
          <w:sz w:val="24"/>
          <w:szCs w:val="24"/>
        </w:rPr>
        <w:t>Article 4 of Directive 2012/27/EU on energy efficiency</w:t>
      </w:r>
      <w:r w:rsidR="005A2EDF" w:rsidRPr="00000176">
        <w:rPr>
          <w:rStyle w:val="FootnoteReference"/>
          <w:rFonts w:ascii="Times New Roman" w:hAnsi="Times New Roman" w:cs="Times New Roman"/>
          <w:sz w:val="24"/>
          <w:szCs w:val="24"/>
        </w:rPr>
        <w:footnoteReference w:id="3"/>
      </w:r>
      <w:r w:rsidR="005A2EDF" w:rsidRPr="00000176">
        <w:rPr>
          <w:rFonts w:ascii="Times New Roman" w:hAnsi="Times New Roman" w:cs="Times New Roman"/>
          <w:sz w:val="24"/>
          <w:szCs w:val="24"/>
        </w:rPr>
        <w:t xml:space="preserve"> (hereafter referred to as "the EED")</w:t>
      </w:r>
      <w:r w:rsidRPr="00000176">
        <w:rPr>
          <w:rFonts w:ascii="Times New Roman" w:hAnsi="Times New Roman" w:cs="Times New Roman"/>
          <w:sz w:val="24"/>
          <w:szCs w:val="24"/>
        </w:rPr>
        <w:t xml:space="preserve">. </w:t>
      </w:r>
    </w:p>
    <w:p w14:paraId="58A14541" w14:textId="77777777" w:rsidR="00CE6267" w:rsidRPr="00000176" w:rsidRDefault="00CE6267" w:rsidP="00CE6267">
      <w:pPr>
        <w:spacing w:after="0"/>
        <w:jc w:val="both"/>
        <w:rPr>
          <w:rFonts w:ascii="Times New Roman" w:hAnsi="Times New Roman" w:cs="Times New Roman"/>
          <w:sz w:val="24"/>
          <w:szCs w:val="24"/>
        </w:rPr>
      </w:pPr>
    </w:p>
    <w:p w14:paraId="6F7F098E" w14:textId="3A3237B3" w:rsidR="00465BEE" w:rsidRDefault="00E85CDB" w:rsidP="00CE6267">
      <w:pPr>
        <w:spacing w:after="0"/>
        <w:jc w:val="both"/>
        <w:rPr>
          <w:rFonts w:ascii="Times New Roman" w:hAnsi="Times New Roman" w:cs="Times New Roman"/>
          <w:sz w:val="24"/>
          <w:szCs w:val="24"/>
        </w:rPr>
      </w:pPr>
      <w:r w:rsidRPr="006B0E32">
        <w:rPr>
          <w:rFonts w:ascii="Times New Roman" w:hAnsi="Times New Roman" w:cs="Times New Roman"/>
          <w:sz w:val="24"/>
          <w:szCs w:val="24"/>
        </w:rPr>
        <w:t>T</w:t>
      </w:r>
      <w:r w:rsidR="00465BEE" w:rsidRPr="006B0E32">
        <w:rPr>
          <w:rFonts w:ascii="Times New Roman" w:hAnsi="Times New Roman" w:cs="Times New Roman"/>
          <w:sz w:val="24"/>
          <w:szCs w:val="24"/>
        </w:rPr>
        <w:t>he revised</w:t>
      </w:r>
      <w:r w:rsidR="00465BEE" w:rsidRPr="00000176">
        <w:rPr>
          <w:rFonts w:ascii="Times New Roman" w:hAnsi="Times New Roman" w:cs="Times New Roman"/>
          <w:sz w:val="24"/>
          <w:szCs w:val="24"/>
        </w:rPr>
        <w:t xml:space="preserve"> </w:t>
      </w:r>
      <w:r w:rsidR="00C5459E" w:rsidRPr="00000176">
        <w:rPr>
          <w:rFonts w:ascii="Times New Roman" w:hAnsi="Times New Roman" w:cs="Times New Roman"/>
          <w:sz w:val="24"/>
          <w:szCs w:val="24"/>
        </w:rPr>
        <w:t xml:space="preserve">Directive </w:t>
      </w:r>
      <w:r w:rsidR="00465BEE" w:rsidRPr="00000176">
        <w:rPr>
          <w:rFonts w:ascii="Times New Roman" w:hAnsi="Times New Roman" w:cs="Times New Roman"/>
          <w:sz w:val="24"/>
          <w:szCs w:val="24"/>
        </w:rPr>
        <w:t xml:space="preserve">includes a stronger reference to energy poverty, inclusion of references to health, safety and air quality, initiatives to promote smart technologies, skills and education, policies targeting the worst performing segments of national building stocks, to split-incentive dilemmas, market failures and public buildings. </w:t>
      </w:r>
    </w:p>
    <w:p w14:paraId="35A2B911" w14:textId="77777777" w:rsidR="00C5341B" w:rsidRPr="00000176" w:rsidRDefault="00C5341B" w:rsidP="00CE6267">
      <w:pPr>
        <w:spacing w:after="0"/>
        <w:jc w:val="both"/>
        <w:rPr>
          <w:rFonts w:ascii="Times New Roman" w:hAnsi="Times New Roman" w:cs="Times New Roman"/>
          <w:sz w:val="24"/>
          <w:szCs w:val="24"/>
        </w:rPr>
      </w:pPr>
    </w:p>
    <w:p w14:paraId="779E76C2" w14:textId="26A4E7E7" w:rsidR="00D3645D" w:rsidRPr="00000176" w:rsidRDefault="00D3645D" w:rsidP="00CE6267">
      <w:pPr>
        <w:spacing w:after="0"/>
        <w:jc w:val="both"/>
        <w:rPr>
          <w:rFonts w:ascii="Times New Roman" w:hAnsi="Times New Roman" w:cs="Times New Roman"/>
          <w:spacing w:val="-2"/>
          <w:position w:val="-2"/>
          <w:sz w:val="24"/>
          <w:szCs w:val="24"/>
        </w:rPr>
      </w:pPr>
      <w:r w:rsidRPr="00000176">
        <w:rPr>
          <w:rFonts w:ascii="Times New Roman" w:hAnsi="Times New Roman" w:cs="Times New Roman"/>
          <w:sz w:val="24"/>
          <w:szCs w:val="24"/>
        </w:rPr>
        <w:t xml:space="preserve">Strong LTRS </w:t>
      </w:r>
      <w:r w:rsidR="00180C86">
        <w:rPr>
          <w:rFonts w:ascii="Times New Roman" w:hAnsi="Times New Roman" w:cs="Times New Roman"/>
          <w:sz w:val="24"/>
          <w:szCs w:val="24"/>
        </w:rPr>
        <w:t>are</w:t>
      </w:r>
      <w:r w:rsidR="00505E5E" w:rsidRPr="00000176">
        <w:rPr>
          <w:rFonts w:ascii="Times New Roman" w:hAnsi="Times New Roman" w:cs="Times New Roman"/>
          <w:sz w:val="24"/>
          <w:szCs w:val="24"/>
        </w:rPr>
        <w:t xml:space="preserve"> expected to </w:t>
      </w:r>
      <w:r w:rsidR="004E04D5" w:rsidRPr="00000176">
        <w:rPr>
          <w:rFonts w:ascii="Times New Roman" w:hAnsi="Times New Roman" w:cs="Times New Roman"/>
          <w:sz w:val="24"/>
          <w:szCs w:val="24"/>
        </w:rPr>
        <w:t xml:space="preserve">accelerate the cost-effective renovation of existing buildings which </w:t>
      </w:r>
      <w:r w:rsidRPr="00000176">
        <w:rPr>
          <w:rFonts w:ascii="Times New Roman" w:hAnsi="Times New Roman" w:cs="Times New Roman"/>
          <w:sz w:val="24"/>
          <w:szCs w:val="24"/>
        </w:rPr>
        <w:t>current</w:t>
      </w:r>
      <w:r w:rsidR="004E04D5" w:rsidRPr="00000176">
        <w:rPr>
          <w:rFonts w:ascii="Times New Roman" w:hAnsi="Times New Roman" w:cs="Times New Roman"/>
          <w:sz w:val="24"/>
          <w:szCs w:val="24"/>
        </w:rPr>
        <w:t>ly display a</w:t>
      </w:r>
      <w:r w:rsidRPr="00000176">
        <w:rPr>
          <w:rFonts w:ascii="Times New Roman" w:hAnsi="Times New Roman" w:cs="Times New Roman"/>
          <w:sz w:val="24"/>
          <w:szCs w:val="24"/>
        </w:rPr>
        <w:t xml:space="preserve"> low renovation rate</w:t>
      </w:r>
      <w:r w:rsidR="004E04D5" w:rsidRPr="00000176">
        <w:rPr>
          <w:rFonts w:ascii="Times New Roman" w:hAnsi="Times New Roman" w:cs="Times New Roman"/>
          <w:sz w:val="24"/>
          <w:szCs w:val="24"/>
        </w:rPr>
        <w:t xml:space="preserve">. </w:t>
      </w:r>
      <w:r w:rsidRPr="00000176">
        <w:rPr>
          <w:rFonts w:ascii="Times New Roman" w:hAnsi="Times New Roman" w:cs="Times New Roman"/>
          <w:spacing w:val="-2"/>
          <w:position w:val="-2"/>
          <w:sz w:val="24"/>
          <w:szCs w:val="24"/>
        </w:rPr>
        <w:t xml:space="preserve">The strategy is </w:t>
      </w:r>
      <w:r w:rsidR="0067650F" w:rsidRPr="00000176">
        <w:rPr>
          <w:rFonts w:ascii="Times New Roman" w:hAnsi="Times New Roman" w:cs="Times New Roman"/>
          <w:spacing w:val="-2"/>
          <w:position w:val="-2"/>
          <w:sz w:val="24"/>
          <w:szCs w:val="24"/>
        </w:rPr>
        <w:t xml:space="preserve">not an </w:t>
      </w:r>
      <w:proofErr w:type="gramStart"/>
      <w:r w:rsidR="0067650F" w:rsidRPr="00000176">
        <w:rPr>
          <w:rFonts w:ascii="Times New Roman" w:hAnsi="Times New Roman" w:cs="Times New Roman"/>
          <w:spacing w:val="-2"/>
          <w:position w:val="-2"/>
          <w:sz w:val="24"/>
          <w:szCs w:val="24"/>
        </w:rPr>
        <w:t xml:space="preserve">end in itself, </w:t>
      </w:r>
      <w:r w:rsidRPr="00000176">
        <w:rPr>
          <w:rFonts w:ascii="Times New Roman" w:hAnsi="Times New Roman" w:cs="Times New Roman"/>
          <w:spacing w:val="-2"/>
          <w:position w:val="-2"/>
          <w:sz w:val="24"/>
          <w:szCs w:val="24"/>
        </w:rPr>
        <w:t>but</w:t>
      </w:r>
      <w:proofErr w:type="gramEnd"/>
      <w:r w:rsidRPr="00000176">
        <w:rPr>
          <w:rFonts w:ascii="Times New Roman" w:hAnsi="Times New Roman" w:cs="Times New Roman"/>
          <w:spacing w:val="-2"/>
          <w:position w:val="-2"/>
          <w:sz w:val="24"/>
          <w:szCs w:val="24"/>
        </w:rPr>
        <w:t xml:space="preserve"> </w:t>
      </w:r>
      <w:r w:rsidR="0067650F" w:rsidRPr="00000176">
        <w:rPr>
          <w:rFonts w:ascii="Times New Roman" w:hAnsi="Times New Roman" w:cs="Times New Roman"/>
          <w:spacing w:val="-2"/>
          <w:position w:val="-2"/>
          <w:sz w:val="24"/>
          <w:szCs w:val="24"/>
        </w:rPr>
        <w:t xml:space="preserve">a </w:t>
      </w:r>
      <w:r w:rsidRPr="00000176">
        <w:rPr>
          <w:rFonts w:ascii="Times New Roman" w:hAnsi="Times New Roman" w:cs="Times New Roman"/>
          <w:spacing w:val="-2"/>
          <w:position w:val="-2"/>
          <w:sz w:val="24"/>
          <w:szCs w:val="24"/>
        </w:rPr>
        <w:t xml:space="preserve">starting point </w:t>
      </w:r>
      <w:r w:rsidR="0067650F" w:rsidRPr="00000176">
        <w:rPr>
          <w:rFonts w:ascii="Times New Roman" w:hAnsi="Times New Roman" w:cs="Times New Roman"/>
          <w:spacing w:val="-2"/>
          <w:position w:val="-2"/>
          <w:sz w:val="24"/>
          <w:szCs w:val="24"/>
        </w:rPr>
        <w:t xml:space="preserve">for </w:t>
      </w:r>
      <w:r w:rsidR="00505E5E" w:rsidRPr="00000176">
        <w:rPr>
          <w:rFonts w:ascii="Times New Roman" w:hAnsi="Times New Roman" w:cs="Times New Roman"/>
          <w:spacing w:val="-2"/>
          <w:position w:val="-2"/>
          <w:sz w:val="24"/>
          <w:szCs w:val="24"/>
        </w:rPr>
        <w:t xml:space="preserve">reinforced </w:t>
      </w:r>
      <w:r w:rsidR="0067650F" w:rsidRPr="00000176">
        <w:rPr>
          <w:rFonts w:ascii="Times New Roman" w:hAnsi="Times New Roman" w:cs="Times New Roman"/>
          <w:spacing w:val="-2"/>
          <w:position w:val="-2"/>
          <w:sz w:val="24"/>
          <w:szCs w:val="24"/>
        </w:rPr>
        <w:t>action.</w:t>
      </w:r>
    </w:p>
    <w:p w14:paraId="3EA2976B" w14:textId="77777777" w:rsidR="00C5341B" w:rsidRDefault="00C5341B" w:rsidP="00CE6267">
      <w:pPr>
        <w:spacing w:after="0"/>
        <w:jc w:val="both"/>
        <w:rPr>
          <w:rFonts w:ascii="Times New Roman" w:hAnsi="Times New Roman" w:cs="Times New Roman"/>
          <w:spacing w:val="-2"/>
          <w:position w:val="-2"/>
          <w:sz w:val="24"/>
          <w:szCs w:val="24"/>
        </w:rPr>
      </w:pPr>
    </w:p>
    <w:p w14:paraId="153ED928" w14:textId="338FB401" w:rsidR="00AA3B86" w:rsidRPr="00000176" w:rsidRDefault="00D3645D" w:rsidP="00CE6267">
      <w:pPr>
        <w:spacing w:after="0"/>
        <w:jc w:val="both"/>
        <w:rPr>
          <w:rFonts w:ascii="Times New Roman" w:hAnsi="Times New Roman" w:cs="Times New Roman"/>
          <w:spacing w:val="-2"/>
          <w:position w:val="-2"/>
          <w:sz w:val="24"/>
          <w:szCs w:val="24"/>
        </w:rPr>
      </w:pPr>
      <w:r w:rsidRPr="00606579">
        <w:rPr>
          <w:rFonts w:ascii="Times New Roman" w:hAnsi="Times New Roman" w:cs="Times New Roman"/>
          <w:spacing w:val="-2"/>
          <w:position w:val="-2"/>
          <w:sz w:val="24"/>
          <w:szCs w:val="24"/>
        </w:rPr>
        <w:t>The aim of this guidance document is to clarify the provisions</w:t>
      </w:r>
      <w:r w:rsidR="001F7E1B" w:rsidRPr="00606579">
        <w:rPr>
          <w:rFonts w:ascii="Times New Roman" w:hAnsi="Times New Roman" w:cs="Times New Roman"/>
          <w:spacing w:val="-2"/>
          <w:position w:val="-2"/>
          <w:sz w:val="24"/>
          <w:szCs w:val="24"/>
        </w:rPr>
        <w:t xml:space="preserve"> of the new Article 2a on LTRS</w:t>
      </w:r>
      <w:r w:rsidRPr="00606579">
        <w:rPr>
          <w:rFonts w:ascii="Times New Roman" w:hAnsi="Times New Roman" w:cs="Times New Roman"/>
          <w:spacing w:val="-2"/>
          <w:position w:val="-2"/>
          <w:sz w:val="24"/>
          <w:szCs w:val="24"/>
        </w:rPr>
        <w:t xml:space="preserve"> and </w:t>
      </w:r>
      <w:r w:rsidR="00E85CDB" w:rsidRPr="00606579">
        <w:rPr>
          <w:rFonts w:ascii="Times New Roman" w:hAnsi="Times New Roman" w:cs="Times New Roman"/>
          <w:spacing w:val="-2"/>
          <w:position w:val="-2"/>
          <w:sz w:val="24"/>
          <w:szCs w:val="24"/>
        </w:rPr>
        <w:t xml:space="preserve">to </w:t>
      </w:r>
      <w:r w:rsidRPr="00606579">
        <w:rPr>
          <w:rFonts w:ascii="Times New Roman" w:hAnsi="Times New Roman" w:cs="Times New Roman"/>
          <w:spacing w:val="-2"/>
          <w:position w:val="-2"/>
          <w:sz w:val="24"/>
          <w:szCs w:val="24"/>
        </w:rPr>
        <w:t xml:space="preserve">support </w:t>
      </w:r>
      <w:r w:rsidRPr="00D902AB">
        <w:rPr>
          <w:rFonts w:ascii="Times New Roman" w:hAnsi="Times New Roman" w:cs="Times New Roman"/>
          <w:spacing w:val="-2"/>
          <w:position w:val="-2"/>
          <w:sz w:val="24"/>
          <w:szCs w:val="24"/>
        </w:rPr>
        <w:t>correct implementation</w:t>
      </w:r>
      <w:r w:rsidR="00606579" w:rsidRPr="00D902AB">
        <w:rPr>
          <w:rFonts w:ascii="Times New Roman" w:hAnsi="Times New Roman" w:cs="Times New Roman"/>
          <w:spacing w:val="-2"/>
          <w:position w:val="-2"/>
          <w:sz w:val="24"/>
          <w:szCs w:val="24"/>
        </w:rPr>
        <w:t xml:space="preserve"> </w:t>
      </w:r>
      <w:r w:rsidR="00A13DAA" w:rsidRPr="00D902AB">
        <w:rPr>
          <w:rFonts w:ascii="Times New Roman" w:hAnsi="Times New Roman" w:cs="Times New Roman"/>
          <w:spacing w:val="-2"/>
          <w:position w:val="-2"/>
          <w:sz w:val="24"/>
          <w:szCs w:val="24"/>
        </w:rPr>
        <w:t>in</w:t>
      </w:r>
      <w:r w:rsidRPr="00D902AB">
        <w:rPr>
          <w:rFonts w:ascii="Times New Roman" w:hAnsi="Times New Roman" w:cs="Times New Roman"/>
          <w:spacing w:val="-2"/>
          <w:position w:val="-2"/>
          <w:sz w:val="24"/>
          <w:szCs w:val="24"/>
        </w:rPr>
        <w:t xml:space="preserve"> the nationa</w:t>
      </w:r>
      <w:r w:rsidR="00AA3B86" w:rsidRPr="00D902AB">
        <w:rPr>
          <w:rFonts w:ascii="Times New Roman" w:hAnsi="Times New Roman" w:cs="Times New Roman"/>
          <w:spacing w:val="-2"/>
          <w:position w:val="-2"/>
          <w:sz w:val="24"/>
          <w:szCs w:val="24"/>
        </w:rPr>
        <w:t xml:space="preserve">l/regional regulatory framework. </w:t>
      </w:r>
      <w:r w:rsidR="00AA3B86" w:rsidRPr="00606579">
        <w:rPr>
          <w:rFonts w:ascii="Times New Roman" w:hAnsi="Times New Roman" w:cs="Times New Roman"/>
          <w:spacing w:val="-2"/>
          <w:position w:val="-2"/>
          <w:sz w:val="24"/>
          <w:szCs w:val="24"/>
        </w:rPr>
        <w:t xml:space="preserve">The note states the views of the Commission services, does </w:t>
      </w:r>
      <w:r w:rsidR="00AA3B86" w:rsidRPr="00D902AB">
        <w:rPr>
          <w:rFonts w:ascii="Times New Roman" w:hAnsi="Times New Roman" w:cs="Times New Roman"/>
          <w:spacing w:val="-2"/>
          <w:position w:val="-2"/>
          <w:sz w:val="24"/>
          <w:szCs w:val="24"/>
        </w:rPr>
        <w:t>not alter the legal effects of the Directive and is without prejudice to the binding interpretation of Article 2a as provided by the Court of Justice.</w:t>
      </w:r>
    </w:p>
    <w:p w14:paraId="3166F9B2" w14:textId="77777777" w:rsidR="0077517A" w:rsidRPr="00000176" w:rsidRDefault="0077517A"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br w:type="page"/>
      </w:r>
    </w:p>
    <w:p w14:paraId="5685E938" w14:textId="77777777" w:rsidR="00000015" w:rsidRPr="00000176" w:rsidRDefault="005C3BD3" w:rsidP="00CE6267">
      <w:pPr>
        <w:pStyle w:val="Heading1"/>
        <w:spacing w:before="0" w:after="0" w:line="276" w:lineRule="auto"/>
        <w:rPr>
          <w:szCs w:val="24"/>
        </w:rPr>
      </w:pPr>
      <w:bookmarkStart w:id="2" w:name="_Toc524340582"/>
      <w:r w:rsidRPr="00000176">
        <w:rPr>
          <w:szCs w:val="24"/>
        </w:rPr>
        <w:lastRenderedPageBreak/>
        <w:t>SCOPE</w:t>
      </w:r>
      <w:bookmarkEnd w:id="2"/>
      <w:r w:rsidR="000F121A" w:rsidRPr="00000176">
        <w:rPr>
          <w:szCs w:val="24"/>
        </w:rPr>
        <w:t xml:space="preserve"> </w:t>
      </w:r>
    </w:p>
    <w:p w14:paraId="7E97C054" w14:textId="77777777" w:rsidR="00C5341B" w:rsidRDefault="00C5341B" w:rsidP="00CE6267">
      <w:pPr>
        <w:spacing w:after="0"/>
        <w:jc w:val="both"/>
        <w:rPr>
          <w:rFonts w:ascii="Times New Roman" w:hAnsi="Times New Roman" w:cs="Times New Roman"/>
          <w:sz w:val="24"/>
          <w:szCs w:val="24"/>
        </w:rPr>
      </w:pPr>
    </w:p>
    <w:p w14:paraId="561B9C07" w14:textId="71AEF6B7" w:rsidR="00424530" w:rsidRDefault="00424530"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Article 4 of the EED already </w:t>
      </w:r>
      <w:proofErr w:type="gramStart"/>
      <w:r w:rsidRPr="00000176">
        <w:rPr>
          <w:rFonts w:ascii="Times New Roman" w:hAnsi="Times New Roman" w:cs="Times New Roman"/>
          <w:sz w:val="24"/>
          <w:szCs w:val="24"/>
        </w:rPr>
        <w:t>provided that</w:t>
      </w:r>
      <w:proofErr w:type="gramEnd"/>
      <w:r w:rsidRPr="00000176">
        <w:rPr>
          <w:rFonts w:ascii="Times New Roman" w:hAnsi="Times New Roman" w:cs="Times New Roman"/>
          <w:sz w:val="24"/>
          <w:szCs w:val="24"/>
        </w:rPr>
        <w:t xml:space="preserve"> Member States must establish a long-term strategy for mobilising investment in the renovation of the national stock of residential and commercial buildings, both public and private. </w:t>
      </w:r>
    </w:p>
    <w:p w14:paraId="1EBA5C44" w14:textId="77777777" w:rsidR="00C5341B" w:rsidRDefault="00C5341B" w:rsidP="00CE6267">
      <w:pPr>
        <w:tabs>
          <w:tab w:val="left" w:pos="6084"/>
        </w:tabs>
        <w:spacing w:after="0"/>
        <w:jc w:val="both"/>
        <w:rPr>
          <w:rFonts w:ascii="Times New Roman" w:hAnsi="Times New Roman" w:cs="Times New Roman"/>
          <w:sz w:val="24"/>
          <w:szCs w:val="24"/>
          <w:lang w:val="en-US"/>
        </w:rPr>
      </w:pPr>
    </w:p>
    <w:p w14:paraId="5A990317" w14:textId="603BBC72" w:rsidR="00424530" w:rsidRDefault="00424530" w:rsidP="00CE6267">
      <w:pPr>
        <w:tabs>
          <w:tab w:val="left" w:pos="6084"/>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Under the revised EPBD, Member States’ strategies must still cover the national stock of residential and non-residential buildings, both public and private, as</w:t>
      </w:r>
      <w:r w:rsidR="008B7F17">
        <w:rPr>
          <w:rFonts w:ascii="Times New Roman" w:hAnsi="Times New Roman" w:cs="Times New Roman"/>
          <w:sz w:val="24"/>
          <w:szCs w:val="24"/>
          <w:lang w:val="en-US"/>
        </w:rPr>
        <w:t xml:space="preserve"> </w:t>
      </w:r>
      <w:r>
        <w:rPr>
          <w:rFonts w:ascii="Times New Roman" w:hAnsi="Times New Roman" w:cs="Times New Roman"/>
          <w:sz w:val="24"/>
          <w:szCs w:val="24"/>
          <w:lang w:val="en-US"/>
        </w:rPr>
        <w:t>under Article 4 of the EED</w:t>
      </w:r>
      <w:r w:rsidR="008B7F17">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the rev</w:t>
      </w:r>
      <w:r w:rsidR="005A2EDF">
        <w:rPr>
          <w:rFonts w:ascii="Times New Roman" w:hAnsi="Times New Roman" w:cs="Times New Roman"/>
          <w:sz w:val="24"/>
          <w:szCs w:val="24"/>
          <w:lang w:val="en-US"/>
        </w:rPr>
        <w:t>i</w:t>
      </w:r>
      <w:r w:rsidR="008B7F17">
        <w:rPr>
          <w:rFonts w:ascii="Times New Roman" w:hAnsi="Times New Roman" w:cs="Times New Roman"/>
          <w:sz w:val="24"/>
          <w:szCs w:val="24"/>
          <w:lang w:val="en-US"/>
        </w:rPr>
        <w:t>s</w:t>
      </w:r>
      <w:r>
        <w:rPr>
          <w:rFonts w:ascii="Times New Roman" w:hAnsi="Times New Roman" w:cs="Times New Roman"/>
          <w:sz w:val="24"/>
          <w:szCs w:val="24"/>
          <w:lang w:val="en-US"/>
        </w:rPr>
        <w:t xml:space="preserve">ed EPBD introduces new and broader obligations and </w:t>
      </w:r>
      <w:r w:rsidRPr="00000176">
        <w:rPr>
          <w:rFonts w:ascii="Times New Roman" w:hAnsi="Times New Roman" w:cs="Times New Roman"/>
          <w:sz w:val="24"/>
          <w:szCs w:val="24"/>
        </w:rPr>
        <w:t>defines wholly new areas of policy and action which should be included in LTRS</w:t>
      </w:r>
      <w:r>
        <w:rPr>
          <w:rFonts w:ascii="Times New Roman" w:hAnsi="Times New Roman" w:cs="Times New Roman"/>
          <w:sz w:val="24"/>
          <w:szCs w:val="24"/>
          <w:lang w:val="en-US"/>
        </w:rPr>
        <w:t xml:space="preserve">, </w:t>
      </w:r>
    </w:p>
    <w:p w14:paraId="6E725905" w14:textId="77777777" w:rsidR="00C5341B" w:rsidRDefault="00C5341B" w:rsidP="00CE6267">
      <w:pPr>
        <w:tabs>
          <w:tab w:val="left" w:pos="6084"/>
        </w:tabs>
        <w:spacing w:after="0"/>
        <w:jc w:val="both"/>
        <w:rPr>
          <w:rFonts w:ascii="Times New Roman" w:hAnsi="Times New Roman" w:cs="Times New Roman"/>
          <w:sz w:val="24"/>
          <w:szCs w:val="24"/>
        </w:rPr>
      </w:pPr>
    </w:p>
    <w:p w14:paraId="6A50F517" w14:textId="36382AB3" w:rsidR="00D3645D" w:rsidRDefault="00424530" w:rsidP="00CE6267">
      <w:pPr>
        <w:tabs>
          <w:tab w:val="left" w:pos="6084"/>
        </w:tabs>
        <w:spacing w:after="0"/>
        <w:jc w:val="both"/>
        <w:rPr>
          <w:rFonts w:ascii="Times New Roman" w:hAnsi="Times New Roman" w:cs="Times New Roman"/>
          <w:sz w:val="24"/>
          <w:szCs w:val="24"/>
        </w:rPr>
      </w:pPr>
      <w:r>
        <w:rPr>
          <w:rFonts w:ascii="Times New Roman" w:hAnsi="Times New Roman" w:cs="Times New Roman"/>
          <w:sz w:val="24"/>
          <w:szCs w:val="24"/>
        </w:rPr>
        <w:t>U</w:t>
      </w:r>
      <w:r w:rsidR="00D3645D" w:rsidRPr="00000176">
        <w:rPr>
          <w:rFonts w:ascii="Times New Roman" w:hAnsi="Times New Roman" w:cs="Times New Roman"/>
          <w:sz w:val="24"/>
          <w:szCs w:val="24"/>
        </w:rPr>
        <w:t>nder the new Article 2a of the revised EPBD, Member States are required to:</w:t>
      </w:r>
    </w:p>
    <w:p w14:paraId="7F8E4616" w14:textId="77777777" w:rsidR="00C5341B" w:rsidRDefault="00C5341B" w:rsidP="00C5341B">
      <w:pPr>
        <w:pStyle w:val="ListParagraph"/>
        <w:spacing w:after="0"/>
        <w:jc w:val="both"/>
        <w:rPr>
          <w:rFonts w:ascii="Times New Roman" w:hAnsi="Times New Roman" w:cs="Times New Roman"/>
          <w:sz w:val="24"/>
          <w:szCs w:val="24"/>
        </w:rPr>
      </w:pPr>
    </w:p>
    <w:p w14:paraId="3ED754D6" w14:textId="4AA214BF" w:rsidR="00D3645D" w:rsidRPr="00000176" w:rsidRDefault="00D3645D" w:rsidP="003449F9">
      <w:pPr>
        <w:pStyle w:val="ListParagraph"/>
        <w:numPr>
          <w:ilvl w:val="0"/>
          <w:numId w:val="2"/>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Establish </w:t>
      </w:r>
      <w:r w:rsidR="00EF695B">
        <w:rPr>
          <w:rFonts w:ascii="Times New Roman" w:hAnsi="Times New Roman" w:cs="Times New Roman"/>
          <w:sz w:val="24"/>
          <w:szCs w:val="24"/>
        </w:rPr>
        <w:t xml:space="preserve">a </w:t>
      </w:r>
      <w:r w:rsidRPr="00000176">
        <w:rPr>
          <w:rFonts w:ascii="Times New Roman" w:hAnsi="Times New Roman" w:cs="Times New Roman"/>
          <w:sz w:val="24"/>
          <w:szCs w:val="24"/>
        </w:rPr>
        <w:t>comprehensive strateg</w:t>
      </w:r>
      <w:r w:rsidR="00EF695B">
        <w:rPr>
          <w:rFonts w:ascii="Times New Roman" w:hAnsi="Times New Roman" w:cs="Times New Roman"/>
          <w:sz w:val="24"/>
          <w:szCs w:val="24"/>
        </w:rPr>
        <w:t>y</w:t>
      </w:r>
      <w:r w:rsidRPr="00000176">
        <w:rPr>
          <w:rFonts w:ascii="Times New Roman" w:hAnsi="Times New Roman" w:cs="Times New Roman"/>
          <w:sz w:val="24"/>
          <w:szCs w:val="24"/>
        </w:rPr>
        <w:t xml:space="preserve"> aimed at</w:t>
      </w:r>
      <w:r w:rsidR="00EF695B">
        <w:rPr>
          <w:rFonts w:ascii="Times New Roman" w:hAnsi="Times New Roman" w:cs="Times New Roman"/>
          <w:sz w:val="24"/>
          <w:szCs w:val="24"/>
        </w:rPr>
        <w:t xml:space="preserve"> achieving</w:t>
      </w:r>
      <w:r w:rsidRPr="00000176">
        <w:rPr>
          <w:rFonts w:ascii="Times New Roman" w:hAnsi="Times New Roman" w:cs="Times New Roman"/>
          <w:sz w:val="24"/>
          <w:szCs w:val="24"/>
        </w:rPr>
        <w:t xml:space="preserve"> a highly efficient and decarbonised building stock by 2050 and cost-effective transformation of existing buildings into nearly zero-energy buildings;</w:t>
      </w:r>
    </w:p>
    <w:p w14:paraId="65DE7BA5" w14:textId="4702C65E" w:rsidR="00D3645D" w:rsidRPr="00000176" w:rsidRDefault="00D3645D" w:rsidP="003449F9">
      <w:pPr>
        <w:pStyle w:val="ListParagraph"/>
        <w:numPr>
          <w:ilvl w:val="0"/>
          <w:numId w:val="2"/>
        </w:numPr>
        <w:spacing w:after="0"/>
        <w:jc w:val="both"/>
        <w:rPr>
          <w:rFonts w:ascii="Times New Roman" w:hAnsi="Times New Roman" w:cs="Times New Roman"/>
          <w:sz w:val="24"/>
          <w:szCs w:val="24"/>
        </w:rPr>
      </w:pPr>
      <w:r w:rsidRPr="00000176">
        <w:rPr>
          <w:rFonts w:ascii="Times New Roman" w:hAnsi="Times New Roman" w:cs="Times New Roman"/>
          <w:sz w:val="24"/>
          <w:szCs w:val="24"/>
        </w:rPr>
        <w:t>Set</w:t>
      </w:r>
      <w:r w:rsidR="00EF695B">
        <w:rPr>
          <w:rFonts w:ascii="Times New Roman" w:hAnsi="Times New Roman" w:cs="Times New Roman"/>
          <w:sz w:val="24"/>
          <w:szCs w:val="24"/>
        </w:rPr>
        <w:t xml:space="preserve"> out</w:t>
      </w:r>
      <w:r w:rsidRPr="00000176">
        <w:rPr>
          <w:rFonts w:ascii="Times New Roman" w:hAnsi="Times New Roman" w:cs="Times New Roman"/>
          <w:sz w:val="24"/>
          <w:szCs w:val="24"/>
        </w:rPr>
        <w:t xml:space="preserve"> a roadmap with measures, measurable progress indicators and indicative milestones for 2030, 2040 and 2050;</w:t>
      </w:r>
    </w:p>
    <w:p w14:paraId="233A43FB" w14:textId="77777777" w:rsidR="00D3645D" w:rsidRPr="00000176" w:rsidRDefault="00D3645D" w:rsidP="003449F9">
      <w:pPr>
        <w:pStyle w:val="ListParagraph"/>
        <w:numPr>
          <w:ilvl w:val="0"/>
          <w:numId w:val="2"/>
        </w:numPr>
        <w:spacing w:after="0"/>
        <w:jc w:val="both"/>
        <w:rPr>
          <w:rFonts w:ascii="Times New Roman" w:hAnsi="Times New Roman" w:cs="Times New Roman"/>
          <w:sz w:val="24"/>
          <w:szCs w:val="24"/>
        </w:rPr>
      </w:pPr>
      <w:r w:rsidRPr="00000176">
        <w:rPr>
          <w:rFonts w:ascii="Times New Roman" w:hAnsi="Times New Roman" w:cs="Times New Roman"/>
          <w:sz w:val="24"/>
          <w:szCs w:val="24"/>
        </w:rPr>
        <w:t>Carry out a public consultation on their strategy prior to submission to the Commission and define modalities for further and inclusive consultation during implementation;</w:t>
      </w:r>
    </w:p>
    <w:p w14:paraId="0D4EC243" w14:textId="4A698ECF" w:rsidR="00D3645D" w:rsidRPr="00000176" w:rsidRDefault="00424530" w:rsidP="003449F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Facilitate </w:t>
      </w:r>
      <w:r w:rsidRPr="00000176">
        <w:rPr>
          <w:rFonts w:ascii="Times New Roman" w:hAnsi="Times New Roman" w:cs="Times New Roman"/>
          <w:sz w:val="24"/>
          <w:szCs w:val="24"/>
        </w:rPr>
        <w:t xml:space="preserve">access to mechanisms through smart financing </w:t>
      </w:r>
      <w:r>
        <w:rPr>
          <w:rFonts w:ascii="Times New Roman" w:hAnsi="Times New Roman" w:cs="Times New Roman"/>
          <w:sz w:val="24"/>
          <w:szCs w:val="24"/>
        </w:rPr>
        <w:t>to s</w:t>
      </w:r>
      <w:r w:rsidR="009C6325" w:rsidRPr="00000176">
        <w:rPr>
          <w:rFonts w:ascii="Times New Roman" w:hAnsi="Times New Roman" w:cs="Times New Roman"/>
          <w:sz w:val="24"/>
          <w:szCs w:val="24"/>
        </w:rPr>
        <w:t>upport</w:t>
      </w:r>
      <w:r w:rsidR="00D3645D" w:rsidRPr="00000176">
        <w:rPr>
          <w:rFonts w:ascii="Times New Roman" w:hAnsi="Times New Roman" w:cs="Times New Roman"/>
          <w:sz w:val="24"/>
          <w:szCs w:val="24"/>
        </w:rPr>
        <w:t xml:space="preserve"> the mobilisation of investments</w:t>
      </w:r>
      <w:r w:rsidR="00553ACE" w:rsidRPr="00000176">
        <w:rPr>
          <w:rFonts w:ascii="Times New Roman" w:hAnsi="Times New Roman" w:cs="Times New Roman"/>
          <w:sz w:val="24"/>
          <w:szCs w:val="24"/>
        </w:rPr>
        <w:t>;</w:t>
      </w:r>
    </w:p>
    <w:p w14:paraId="2A19CCC1" w14:textId="507AF9A0" w:rsidR="00D17EE7" w:rsidRPr="00000176" w:rsidRDefault="00307C2B" w:rsidP="003449F9">
      <w:pPr>
        <w:pStyle w:val="ListParagraph"/>
        <w:numPr>
          <w:ilvl w:val="0"/>
          <w:numId w:val="2"/>
        </w:numPr>
        <w:spacing w:after="0"/>
        <w:jc w:val="both"/>
        <w:rPr>
          <w:rFonts w:ascii="Times New Roman" w:hAnsi="Times New Roman" w:cs="Times New Roman"/>
          <w:sz w:val="24"/>
          <w:szCs w:val="24"/>
          <w:lang w:val="en-US"/>
        </w:rPr>
      </w:pPr>
      <w:r w:rsidRPr="00000176">
        <w:rPr>
          <w:rFonts w:ascii="Times New Roman" w:hAnsi="Times New Roman" w:cs="Times New Roman"/>
          <w:sz w:val="24"/>
          <w:szCs w:val="24"/>
        </w:rPr>
        <w:t>Submit</w:t>
      </w:r>
      <w:r w:rsidR="00A84D04">
        <w:rPr>
          <w:rFonts w:ascii="Times New Roman" w:hAnsi="Times New Roman" w:cs="Times New Roman"/>
          <w:sz w:val="24"/>
          <w:szCs w:val="24"/>
        </w:rPr>
        <w:t xml:space="preserve"> their</w:t>
      </w:r>
      <w:r w:rsidRPr="00000176">
        <w:rPr>
          <w:rFonts w:ascii="Times New Roman" w:hAnsi="Times New Roman" w:cs="Times New Roman"/>
          <w:sz w:val="24"/>
          <w:szCs w:val="24"/>
        </w:rPr>
        <w:t xml:space="preserve"> </w:t>
      </w:r>
      <w:r w:rsidR="00A84D04">
        <w:rPr>
          <w:rFonts w:ascii="Times New Roman" w:hAnsi="Times New Roman" w:cs="Times New Roman"/>
          <w:sz w:val="24"/>
          <w:szCs w:val="24"/>
        </w:rPr>
        <w:t>strategy</w:t>
      </w:r>
      <w:r w:rsidRPr="00000176">
        <w:rPr>
          <w:rFonts w:ascii="Times New Roman" w:hAnsi="Times New Roman" w:cs="Times New Roman"/>
          <w:sz w:val="24"/>
          <w:szCs w:val="24"/>
        </w:rPr>
        <w:t xml:space="preserve"> </w:t>
      </w:r>
      <w:r w:rsidR="00D17EE7" w:rsidRPr="00000176">
        <w:rPr>
          <w:rFonts w:ascii="Times New Roman" w:hAnsi="Times New Roman" w:cs="Times New Roman"/>
          <w:sz w:val="24"/>
          <w:szCs w:val="24"/>
        </w:rPr>
        <w:t>as part of the</w:t>
      </w:r>
      <w:r w:rsidR="00A84D04">
        <w:rPr>
          <w:rFonts w:ascii="Times New Roman" w:hAnsi="Times New Roman" w:cs="Times New Roman"/>
          <w:sz w:val="24"/>
          <w:szCs w:val="24"/>
        </w:rPr>
        <w:t>ir</w:t>
      </w:r>
      <w:r w:rsidR="00D17EE7" w:rsidRPr="00000176">
        <w:rPr>
          <w:rFonts w:ascii="Times New Roman" w:hAnsi="Times New Roman" w:cs="Times New Roman"/>
          <w:sz w:val="24"/>
          <w:szCs w:val="24"/>
        </w:rPr>
        <w:t xml:space="preserve"> final </w:t>
      </w:r>
      <w:r w:rsidR="006E550F">
        <w:rPr>
          <w:rFonts w:ascii="Times New Roman" w:hAnsi="Times New Roman" w:cs="Times New Roman"/>
          <w:sz w:val="24"/>
          <w:szCs w:val="24"/>
        </w:rPr>
        <w:t>i</w:t>
      </w:r>
      <w:r w:rsidR="00D17EE7" w:rsidRPr="00000176">
        <w:rPr>
          <w:rFonts w:ascii="Times New Roman" w:hAnsi="Times New Roman" w:cs="Times New Roman"/>
          <w:sz w:val="24"/>
          <w:szCs w:val="24"/>
        </w:rPr>
        <w:t xml:space="preserve">ntegrated </w:t>
      </w:r>
      <w:r w:rsidR="006E550F">
        <w:rPr>
          <w:rFonts w:ascii="Times New Roman" w:hAnsi="Times New Roman" w:cs="Times New Roman"/>
          <w:sz w:val="24"/>
          <w:szCs w:val="24"/>
        </w:rPr>
        <w:t>n</w:t>
      </w:r>
      <w:r w:rsidR="00D17EE7" w:rsidRPr="00000176">
        <w:rPr>
          <w:rFonts w:ascii="Times New Roman" w:hAnsi="Times New Roman" w:cs="Times New Roman"/>
          <w:sz w:val="24"/>
          <w:szCs w:val="24"/>
        </w:rPr>
        <w:t xml:space="preserve">ational </w:t>
      </w:r>
      <w:r w:rsidR="006E550F">
        <w:rPr>
          <w:rFonts w:ascii="Times New Roman" w:hAnsi="Times New Roman" w:cs="Times New Roman"/>
          <w:sz w:val="24"/>
          <w:szCs w:val="24"/>
        </w:rPr>
        <w:t>e</w:t>
      </w:r>
      <w:r w:rsidR="00D17EE7" w:rsidRPr="00000176">
        <w:rPr>
          <w:rFonts w:ascii="Times New Roman" w:hAnsi="Times New Roman" w:cs="Times New Roman"/>
          <w:sz w:val="24"/>
          <w:szCs w:val="24"/>
        </w:rPr>
        <w:t xml:space="preserve">nergy and </w:t>
      </w:r>
      <w:r w:rsidR="006E550F">
        <w:rPr>
          <w:rFonts w:ascii="Times New Roman" w:hAnsi="Times New Roman" w:cs="Times New Roman"/>
          <w:sz w:val="24"/>
          <w:szCs w:val="24"/>
        </w:rPr>
        <w:t>c</w:t>
      </w:r>
      <w:r w:rsidR="00D17EE7" w:rsidRPr="00000176">
        <w:rPr>
          <w:rFonts w:ascii="Times New Roman" w:hAnsi="Times New Roman" w:cs="Times New Roman"/>
          <w:sz w:val="24"/>
          <w:szCs w:val="24"/>
        </w:rPr>
        <w:t xml:space="preserve">limate </w:t>
      </w:r>
      <w:r w:rsidR="006E550F">
        <w:rPr>
          <w:rFonts w:ascii="Times New Roman" w:hAnsi="Times New Roman" w:cs="Times New Roman"/>
          <w:sz w:val="24"/>
          <w:szCs w:val="24"/>
        </w:rPr>
        <w:t>p</w:t>
      </w:r>
      <w:r w:rsidR="00D17EE7" w:rsidRPr="00000176">
        <w:rPr>
          <w:rFonts w:ascii="Times New Roman" w:hAnsi="Times New Roman" w:cs="Times New Roman"/>
          <w:sz w:val="24"/>
          <w:szCs w:val="24"/>
        </w:rPr>
        <w:t>lan</w:t>
      </w:r>
      <w:r w:rsidR="002E396C">
        <w:rPr>
          <w:rFonts w:ascii="Times New Roman" w:hAnsi="Times New Roman" w:cs="Times New Roman"/>
          <w:sz w:val="24"/>
          <w:szCs w:val="24"/>
        </w:rPr>
        <w:t xml:space="preserve"> and </w:t>
      </w:r>
      <w:proofErr w:type="spellStart"/>
      <w:r w:rsidR="00534F6A">
        <w:rPr>
          <w:rFonts w:ascii="Times New Roman" w:hAnsi="Times New Roman" w:cs="Times New Roman"/>
          <w:sz w:val="24"/>
          <w:szCs w:val="24"/>
        </w:rPr>
        <w:t>and</w:t>
      </w:r>
      <w:proofErr w:type="spellEnd"/>
      <w:r w:rsidR="00534F6A">
        <w:rPr>
          <w:rFonts w:ascii="Times New Roman" w:hAnsi="Times New Roman" w:cs="Times New Roman"/>
          <w:sz w:val="24"/>
          <w:szCs w:val="24"/>
        </w:rPr>
        <w:t xml:space="preserve"> provide information about implementation in their </w:t>
      </w:r>
      <w:r w:rsidR="006E550F">
        <w:rPr>
          <w:rFonts w:ascii="Times New Roman" w:hAnsi="Times New Roman" w:cs="Times New Roman"/>
          <w:sz w:val="24"/>
          <w:szCs w:val="24"/>
        </w:rPr>
        <w:t>i</w:t>
      </w:r>
      <w:r w:rsidR="00534F6A">
        <w:rPr>
          <w:rFonts w:ascii="Times New Roman" w:hAnsi="Times New Roman" w:cs="Times New Roman"/>
          <w:sz w:val="24"/>
          <w:szCs w:val="24"/>
        </w:rPr>
        <w:t xml:space="preserve">ntegrated </w:t>
      </w:r>
      <w:r w:rsidR="006E550F">
        <w:rPr>
          <w:rFonts w:ascii="Times New Roman" w:hAnsi="Times New Roman" w:cs="Times New Roman"/>
          <w:sz w:val="24"/>
          <w:szCs w:val="24"/>
        </w:rPr>
        <w:t>n</w:t>
      </w:r>
      <w:r w:rsidR="00534F6A">
        <w:rPr>
          <w:rFonts w:ascii="Times New Roman" w:hAnsi="Times New Roman" w:cs="Times New Roman"/>
          <w:sz w:val="24"/>
          <w:szCs w:val="24"/>
        </w:rPr>
        <w:t xml:space="preserve">ational </w:t>
      </w:r>
      <w:r w:rsidR="006E550F">
        <w:rPr>
          <w:rFonts w:ascii="Times New Roman" w:hAnsi="Times New Roman" w:cs="Times New Roman"/>
          <w:sz w:val="24"/>
          <w:szCs w:val="24"/>
        </w:rPr>
        <w:t>e</w:t>
      </w:r>
      <w:r w:rsidR="00534F6A">
        <w:rPr>
          <w:rFonts w:ascii="Times New Roman" w:hAnsi="Times New Roman" w:cs="Times New Roman"/>
          <w:sz w:val="24"/>
          <w:szCs w:val="24"/>
        </w:rPr>
        <w:t xml:space="preserve">nergy and </w:t>
      </w:r>
      <w:r w:rsidR="006E550F">
        <w:rPr>
          <w:rFonts w:ascii="Times New Roman" w:hAnsi="Times New Roman" w:cs="Times New Roman"/>
          <w:sz w:val="24"/>
          <w:szCs w:val="24"/>
        </w:rPr>
        <w:t>c</w:t>
      </w:r>
      <w:r w:rsidR="00534F6A">
        <w:rPr>
          <w:rFonts w:ascii="Times New Roman" w:hAnsi="Times New Roman" w:cs="Times New Roman"/>
          <w:sz w:val="24"/>
          <w:szCs w:val="24"/>
        </w:rPr>
        <w:t xml:space="preserve">limate </w:t>
      </w:r>
      <w:r w:rsidR="006E550F">
        <w:rPr>
          <w:rFonts w:ascii="Times New Roman" w:hAnsi="Times New Roman" w:cs="Times New Roman"/>
          <w:sz w:val="24"/>
          <w:szCs w:val="24"/>
        </w:rPr>
        <w:t>p</w:t>
      </w:r>
      <w:r w:rsidR="00534F6A">
        <w:rPr>
          <w:rFonts w:ascii="Times New Roman" w:hAnsi="Times New Roman" w:cs="Times New Roman"/>
          <w:sz w:val="24"/>
          <w:szCs w:val="24"/>
        </w:rPr>
        <w:t xml:space="preserve">rogress </w:t>
      </w:r>
      <w:r w:rsidR="006E550F">
        <w:rPr>
          <w:rFonts w:ascii="Times New Roman" w:hAnsi="Times New Roman" w:cs="Times New Roman"/>
          <w:sz w:val="24"/>
          <w:szCs w:val="24"/>
        </w:rPr>
        <w:t>r</w:t>
      </w:r>
      <w:r w:rsidR="00534F6A">
        <w:rPr>
          <w:rFonts w:ascii="Times New Roman" w:hAnsi="Times New Roman" w:cs="Times New Roman"/>
          <w:sz w:val="24"/>
          <w:szCs w:val="24"/>
        </w:rPr>
        <w:t>eports</w:t>
      </w:r>
      <w:r w:rsidR="00505E5E" w:rsidRPr="00000176">
        <w:rPr>
          <w:rFonts w:ascii="Times New Roman" w:hAnsi="Times New Roman" w:cs="Times New Roman"/>
          <w:sz w:val="24"/>
          <w:szCs w:val="24"/>
        </w:rPr>
        <w:t>.</w:t>
      </w:r>
    </w:p>
    <w:p w14:paraId="130607B3" w14:textId="77777777" w:rsidR="001E2EEA" w:rsidRPr="00000176" w:rsidRDefault="001E2EEA" w:rsidP="00CE6267">
      <w:pPr>
        <w:spacing w:after="0"/>
        <w:jc w:val="both"/>
        <w:rPr>
          <w:rFonts w:ascii="Times New Roman" w:hAnsi="Times New Roman" w:cs="Times New Roman"/>
          <w:sz w:val="24"/>
          <w:szCs w:val="24"/>
        </w:rPr>
      </w:pPr>
    </w:p>
    <w:p w14:paraId="514E5D13" w14:textId="77777777" w:rsidR="00000176" w:rsidRDefault="00000176" w:rsidP="00CE6267">
      <w:pPr>
        <w:pStyle w:val="Heading1"/>
        <w:spacing w:before="0" w:after="0" w:line="276" w:lineRule="auto"/>
        <w:rPr>
          <w:szCs w:val="24"/>
        </w:rPr>
      </w:pPr>
      <w:r>
        <w:rPr>
          <w:szCs w:val="24"/>
        </w:rPr>
        <w:br w:type="page"/>
      </w:r>
    </w:p>
    <w:p w14:paraId="14967E57" w14:textId="28892FFC" w:rsidR="00424530" w:rsidRDefault="00424530" w:rsidP="003449F9">
      <w:pPr>
        <w:pStyle w:val="Heading1"/>
        <w:numPr>
          <w:ilvl w:val="0"/>
          <w:numId w:val="17"/>
        </w:numPr>
        <w:spacing w:before="0" w:after="0" w:line="276" w:lineRule="auto"/>
        <w:rPr>
          <w:szCs w:val="24"/>
        </w:rPr>
      </w:pPr>
      <w:bookmarkStart w:id="3" w:name="_Toc524340583"/>
      <w:r>
        <w:rPr>
          <w:szCs w:val="24"/>
        </w:rPr>
        <w:lastRenderedPageBreak/>
        <w:t xml:space="preserve">OBLIGATION TO ESTABLISH A COMPREHENSIVE STRATEGY TO ACHIEVE A HIGHLY DECARBONISED BUILDING </w:t>
      </w:r>
      <w:r w:rsidR="00B122D9">
        <w:rPr>
          <w:szCs w:val="24"/>
        </w:rPr>
        <w:t>STOCK</w:t>
      </w:r>
      <w:r>
        <w:rPr>
          <w:szCs w:val="24"/>
        </w:rPr>
        <w:t xml:space="preserve"> BY 2050</w:t>
      </w:r>
      <w:bookmarkEnd w:id="3"/>
    </w:p>
    <w:p w14:paraId="44CD8BF2" w14:textId="77777777" w:rsidR="00C5341B" w:rsidRDefault="00C5341B" w:rsidP="00C5341B">
      <w:pPr>
        <w:pStyle w:val="Heading2"/>
        <w:numPr>
          <w:ilvl w:val="0"/>
          <w:numId w:val="0"/>
        </w:numPr>
        <w:spacing w:before="0" w:after="0" w:line="276" w:lineRule="auto"/>
        <w:ind w:left="851"/>
        <w:rPr>
          <w:szCs w:val="24"/>
        </w:rPr>
      </w:pPr>
    </w:p>
    <w:p w14:paraId="74644087" w14:textId="6FFB56F0" w:rsidR="00836728" w:rsidRPr="00000176" w:rsidRDefault="0041456C" w:rsidP="00CE6267">
      <w:pPr>
        <w:pStyle w:val="Heading2"/>
        <w:spacing w:before="0" w:after="0" w:line="276" w:lineRule="auto"/>
        <w:rPr>
          <w:szCs w:val="24"/>
        </w:rPr>
      </w:pPr>
      <w:bookmarkStart w:id="4" w:name="_Toc524340584"/>
      <w:r>
        <w:rPr>
          <w:szCs w:val="24"/>
        </w:rPr>
        <w:t>Mandatory e</w:t>
      </w:r>
      <w:r w:rsidR="008A2002" w:rsidRPr="00000176">
        <w:rPr>
          <w:szCs w:val="24"/>
        </w:rPr>
        <w:t xml:space="preserve">lements of the </w:t>
      </w:r>
      <w:r w:rsidR="00465BEE" w:rsidRPr="00000176">
        <w:rPr>
          <w:szCs w:val="24"/>
        </w:rPr>
        <w:t>LTRS</w:t>
      </w:r>
      <w:bookmarkEnd w:id="4"/>
      <w:r w:rsidR="00836728" w:rsidRPr="00000176">
        <w:rPr>
          <w:szCs w:val="24"/>
        </w:rPr>
        <w:t xml:space="preserve"> </w:t>
      </w:r>
    </w:p>
    <w:p w14:paraId="450C79E6" w14:textId="5DC5EA57" w:rsidR="00465BEE" w:rsidRDefault="00A10BEC"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Member States' </w:t>
      </w:r>
      <w:r w:rsidR="00465BEE" w:rsidRPr="00000176">
        <w:rPr>
          <w:rFonts w:ascii="Times New Roman" w:hAnsi="Times New Roman" w:cs="Times New Roman"/>
          <w:sz w:val="24"/>
          <w:szCs w:val="24"/>
        </w:rPr>
        <w:t xml:space="preserve">LTRS will </w:t>
      </w:r>
      <w:r w:rsidR="00420EAF" w:rsidRPr="00000176">
        <w:rPr>
          <w:rFonts w:ascii="Times New Roman" w:hAnsi="Times New Roman" w:cs="Times New Roman"/>
          <w:sz w:val="24"/>
          <w:szCs w:val="24"/>
        </w:rPr>
        <w:t xml:space="preserve">cover </w:t>
      </w:r>
      <w:r w:rsidR="000F7DD3">
        <w:rPr>
          <w:rFonts w:ascii="Times New Roman" w:hAnsi="Times New Roman" w:cs="Times New Roman"/>
          <w:sz w:val="24"/>
          <w:szCs w:val="24"/>
        </w:rPr>
        <w:t>“</w:t>
      </w:r>
      <w:r w:rsidR="00465BEE" w:rsidRPr="00000176">
        <w:rPr>
          <w:rFonts w:ascii="Times New Roman" w:hAnsi="Times New Roman" w:cs="Times New Roman"/>
          <w:sz w:val="24"/>
          <w:szCs w:val="24"/>
        </w:rPr>
        <w:t>existing</w:t>
      </w:r>
      <w:r w:rsidR="000F7DD3">
        <w:rPr>
          <w:rFonts w:ascii="Times New Roman" w:hAnsi="Times New Roman" w:cs="Times New Roman"/>
          <w:sz w:val="24"/>
          <w:szCs w:val="24"/>
        </w:rPr>
        <w:t>”</w:t>
      </w:r>
      <w:r w:rsidR="00465BEE" w:rsidRPr="00000176">
        <w:rPr>
          <w:rFonts w:ascii="Times New Roman" w:hAnsi="Times New Roman" w:cs="Times New Roman"/>
          <w:sz w:val="24"/>
          <w:szCs w:val="24"/>
        </w:rPr>
        <w:t xml:space="preserve"> </w:t>
      </w:r>
      <w:r w:rsidR="000F7DD3">
        <w:rPr>
          <w:rFonts w:ascii="Times New Roman" w:hAnsi="Times New Roman" w:cs="Times New Roman"/>
          <w:sz w:val="24"/>
          <w:szCs w:val="24"/>
        </w:rPr>
        <w:t>elements</w:t>
      </w:r>
      <w:r w:rsidR="00420EAF" w:rsidRPr="00000176">
        <w:rPr>
          <w:rFonts w:ascii="Times New Roman" w:hAnsi="Times New Roman" w:cs="Times New Roman"/>
          <w:sz w:val="24"/>
          <w:szCs w:val="24"/>
        </w:rPr>
        <w:t xml:space="preserve"> </w:t>
      </w:r>
      <w:r w:rsidR="00465BEE" w:rsidRPr="00000176">
        <w:rPr>
          <w:rFonts w:ascii="Times New Roman" w:hAnsi="Times New Roman" w:cs="Times New Roman"/>
          <w:sz w:val="24"/>
          <w:szCs w:val="24"/>
        </w:rPr>
        <w:t>(</w:t>
      </w:r>
      <w:r w:rsidR="000F7DD3">
        <w:rPr>
          <w:rFonts w:ascii="Times New Roman" w:hAnsi="Times New Roman" w:cs="Times New Roman"/>
          <w:sz w:val="24"/>
          <w:szCs w:val="24"/>
        </w:rPr>
        <w:t>which were</w:t>
      </w:r>
      <w:r w:rsidR="00465BEE" w:rsidRPr="00000176">
        <w:rPr>
          <w:rFonts w:ascii="Times New Roman" w:hAnsi="Times New Roman" w:cs="Times New Roman"/>
          <w:sz w:val="24"/>
          <w:szCs w:val="24"/>
        </w:rPr>
        <w:t xml:space="preserve"> set out under Article 4 of the EED) and new </w:t>
      </w:r>
      <w:r w:rsidR="000F7DD3">
        <w:rPr>
          <w:rFonts w:ascii="Times New Roman" w:hAnsi="Times New Roman" w:cs="Times New Roman"/>
          <w:sz w:val="24"/>
          <w:szCs w:val="24"/>
        </w:rPr>
        <w:t>elements</w:t>
      </w:r>
      <w:r w:rsidR="00420EAF" w:rsidRPr="00000176">
        <w:rPr>
          <w:rFonts w:ascii="Times New Roman" w:hAnsi="Times New Roman" w:cs="Times New Roman"/>
          <w:sz w:val="24"/>
          <w:szCs w:val="24"/>
        </w:rPr>
        <w:t xml:space="preserve"> </w:t>
      </w:r>
      <w:r w:rsidR="00465BEE" w:rsidRPr="00000176">
        <w:rPr>
          <w:rFonts w:ascii="Times New Roman" w:hAnsi="Times New Roman" w:cs="Times New Roman"/>
          <w:sz w:val="24"/>
          <w:szCs w:val="24"/>
        </w:rPr>
        <w:t>(as defined in the revised EPBD, Article 2a).</w:t>
      </w:r>
      <w:r w:rsidR="009A4DC0" w:rsidRPr="00000176">
        <w:rPr>
          <w:rFonts w:ascii="Times New Roman" w:hAnsi="Times New Roman" w:cs="Times New Roman"/>
          <w:sz w:val="24"/>
          <w:szCs w:val="24"/>
        </w:rPr>
        <w:t xml:space="preserve"> </w:t>
      </w:r>
      <w:r w:rsidR="00465BEE" w:rsidRPr="00000176">
        <w:rPr>
          <w:rFonts w:ascii="Times New Roman" w:hAnsi="Times New Roman" w:cs="Times New Roman"/>
          <w:sz w:val="24"/>
          <w:szCs w:val="24"/>
        </w:rPr>
        <w:t>Each LTRS must</w:t>
      </w:r>
      <w:r w:rsidR="006D0E09" w:rsidRPr="00000176">
        <w:rPr>
          <w:rFonts w:ascii="Times New Roman" w:hAnsi="Times New Roman" w:cs="Times New Roman"/>
          <w:sz w:val="24"/>
          <w:szCs w:val="24"/>
        </w:rPr>
        <w:t xml:space="preserve"> now</w:t>
      </w:r>
      <w:r w:rsidR="00A42439">
        <w:rPr>
          <w:rFonts w:ascii="Times New Roman" w:hAnsi="Times New Roman" w:cs="Times New Roman"/>
          <w:sz w:val="24"/>
          <w:szCs w:val="24"/>
        </w:rPr>
        <w:t xml:space="preserve"> encompass the elements below.</w:t>
      </w:r>
    </w:p>
    <w:p w14:paraId="1C7E8E4B" w14:textId="77777777" w:rsidR="00C5341B" w:rsidRDefault="00C5341B" w:rsidP="00CE6267">
      <w:pPr>
        <w:spacing w:after="0"/>
        <w:jc w:val="both"/>
        <w:rPr>
          <w:rFonts w:ascii="Times New Roman" w:hAnsi="Times New Roman" w:cs="Times New Roman"/>
          <w:sz w:val="24"/>
          <w:szCs w:val="24"/>
        </w:rPr>
      </w:pPr>
    </w:p>
    <w:p w14:paraId="0AAD33F7" w14:textId="77777777" w:rsidR="00465BEE" w:rsidRPr="00000176" w:rsidRDefault="009A4DC0" w:rsidP="00CE6267">
      <w:pPr>
        <w:pStyle w:val="Heading3"/>
        <w:spacing w:before="0" w:after="0" w:line="276" w:lineRule="auto"/>
        <w:rPr>
          <w:szCs w:val="24"/>
        </w:rPr>
      </w:pPr>
      <w:bookmarkStart w:id="5" w:name="_Toc524340585"/>
      <w:r w:rsidRPr="00000176">
        <w:rPr>
          <w:szCs w:val="24"/>
        </w:rPr>
        <w:t>Overview of the national b</w:t>
      </w:r>
      <w:r w:rsidR="00465BEE" w:rsidRPr="00000176">
        <w:rPr>
          <w:szCs w:val="24"/>
        </w:rPr>
        <w:t xml:space="preserve">uilding stock </w:t>
      </w:r>
      <w:r w:rsidR="007F36E9" w:rsidRPr="00000176">
        <w:rPr>
          <w:szCs w:val="24"/>
        </w:rPr>
        <w:t>(Article 2a(1)(a)</w:t>
      </w:r>
      <w:r w:rsidR="00B47FDF" w:rsidRPr="00000176">
        <w:rPr>
          <w:szCs w:val="24"/>
        </w:rPr>
        <w:t>)</w:t>
      </w:r>
      <w:bookmarkEnd w:id="5"/>
    </w:p>
    <w:p w14:paraId="31AF422E" w14:textId="36E7F93B" w:rsidR="00727139" w:rsidRPr="00000176" w:rsidRDefault="00727139"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Article 4(a) of the EED already provided that the starting point of LTRS </w:t>
      </w:r>
      <w:r w:rsidR="00365060" w:rsidRPr="00000176">
        <w:rPr>
          <w:rFonts w:ascii="Times New Roman" w:hAnsi="Times New Roman" w:cs="Times New Roman"/>
          <w:sz w:val="24"/>
          <w:szCs w:val="24"/>
        </w:rPr>
        <w:t xml:space="preserve">was </w:t>
      </w:r>
      <w:r w:rsidRPr="00000176">
        <w:rPr>
          <w:rFonts w:ascii="Times New Roman" w:hAnsi="Times New Roman" w:cs="Times New Roman"/>
          <w:sz w:val="24"/>
          <w:szCs w:val="24"/>
        </w:rPr>
        <w:t xml:space="preserve">an overview </w:t>
      </w:r>
      <w:r w:rsidR="0024701C" w:rsidRPr="00000176">
        <w:rPr>
          <w:rFonts w:ascii="Times New Roman" w:hAnsi="Times New Roman" w:cs="Times New Roman"/>
          <w:sz w:val="24"/>
          <w:szCs w:val="24"/>
        </w:rPr>
        <w:t>of the national building stock</w:t>
      </w:r>
      <w:r w:rsidR="0070401D" w:rsidRPr="00000176">
        <w:rPr>
          <w:rFonts w:ascii="Times New Roman" w:hAnsi="Times New Roman" w:cs="Times New Roman"/>
          <w:sz w:val="24"/>
          <w:szCs w:val="24"/>
        </w:rPr>
        <w:t xml:space="preserve">. </w:t>
      </w:r>
    </w:p>
    <w:p w14:paraId="3E25A2BF" w14:textId="77777777" w:rsidR="00C5341B" w:rsidRDefault="00C5341B" w:rsidP="00CE6267">
      <w:pPr>
        <w:spacing w:after="0"/>
        <w:jc w:val="both"/>
        <w:rPr>
          <w:rFonts w:ascii="Times New Roman" w:hAnsi="Times New Roman" w:cs="Times New Roman"/>
          <w:sz w:val="24"/>
          <w:szCs w:val="24"/>
        </w:rPr>
      </w:pPr>
    </w:p>
    <w:p w14:paraId="2B8AA213" w14:textId="77F32116" w:rsidR="001225C3" w:rsidRPr="00000176" w:rsidRDefault="001225C3"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Article 2a</w:t>
      </w:r>
      <w:r w:rsidR="007F36E9" w:rsidRPr="00000176">
        <w:rPr>
          <w:rFonts w:ascii="Times New Roman" w:hAnsi="Times New Roman" w:cs="Times New Roman"/>
          <w:sz w:val="24"/>
          <w:szCs w:val="24"/>
        </w:rPr>
        <w:t>(1)</w:t>
      </w:r>
      <w:r w:rsidRPr="00000176">
        <w:rPr>
          <w:rFonts w:ascii="Times New Roman" w:hAnsi="Times New Roman" w:cs="Times New Roman"/>
          <w:sz w:val="24"/>
          <w:szCs w:val="24"/>
        </w:rPr>
        <w:t xml:space="preserve">(a) </w:t>
      </w:r>
      <w:r w:rsidR="0024701C" w:rsidRPr="00000176">
        <w:rPr>
          <w:rFonts w:ascii="Times New Roman" w:hAnsi="Times New Roman" w:cs="Times New Roman"/>
          <w:sz w:val="24"/>
          <w:szCs w:val="24"/>
        </w:rPr>
        <w:t xml:space="preserve">of the revised EPBD provides that LTRS </w:t>
      </w:r>
      <w:r w:rsidR="00677F9B" w:rsidRPr="00000176">
        <w:rPr>
          <w:rFonts w:ascii="Times New Roman" w:hAnsi="Times New Roman" w:cs="Times New Roman"/>
          <w:sz w:val="24"/>
          <w:szCs w:val="24"/>
        </w:rPr>
        <w:t xml:space="preserve">must </w:t>
      </w:r>
      <w:r w:rsidR="0024701C" w:rsidRPr="00000176">
        <w:rPr>
          <w:rFonts w:ascii="Times New Roman" w:hAnsi="Times New Roman" w:cs="Times New Roman"/>
          <w:sz w:val="24"/>
          <w:szCs w:val="24"/>
        </w:rPr>
        <w:t>encompass</w:t>
      </w:r>
      <w:r w:rsidRPr="00000176">
        <w:rPr>
          <w:rFonts w:ascii="Times New Roman" w:hAnsi="Times New Roman" w:cs="Times New Roman"/>
          <w:sz w:val="24"/>
          <w:szCs w:val="24"/>
        </w:rPr>
        <w:t xml:space="preserve">: </w:t>
      </w:r>
    </w:p>
    <w:p w14:paraId="11A79C3D" w14:textId="77777777" w:rsidR="00C5341B" w:rsidRDefault="00C5341B" w:rsidP="00CE6267">
      <w:pPr>
        <w:spacing w:after="0"/>
        <w:ind w:left="720"/>
        <w:jc w:val="both"/>
        <w:rPr>
          <w:rFonts w:ascii="Times New Roman" w:hAnsi="Times New Roman" w:cs="Times New Roman"/>
          <w:sz w:val="24"/>
          <w:szCs w:val="24"/>
        </w:rPr>
      </w:pPr>
      <w:bookmarkStart w:id="6" w:name="_DV_C189"/>
    </w:p>
    <w:p w14:paraId="007871B2" w14:textId="77777777" w:rsidR="00727139" w:rsidRPr="00000176" w:rsidRDefault="001225C3" w:rsidP="00CE6267">
      <w:pPr>
        <w:spacing w:after="0"/>
        <w:ind w:left="720"/>
        <w:jc w:val="both"/>
        <w:rPr>
          <w:rFonts w:ascii="Times New Roman" w:hAnsi="Times New Roman" w:cs="Times New Roman"/>
          <w:b/>
          <w:sz w:val="24"/>
          <w:szCs w:val="24"/>
        </w:rPr>
      </w:pPr>
      <w:r w:rsidRPr="00000176">
        <w:rPr>
          <w:rFonts w:ascii="Times New Roman" w:hAnsi="Times New Roman" w:cs="Times New Roman"/>
          <w:sz w:val="24"/>
          <w:szCs w:val="24"/>
        </w:rPr>
        <w:t>"</w:t>
      </w:r>
      <w:r w:rsidR="00727139" w:rsidRPr="00000176">
        <w:rPr>
          <w:rFonts w:ascii="Times New Roman" w:hAnsi="Times New Roman" w:cs="Times New Roman"/>
          <w:sz w:val="24"/>
          <w:szCs w:val="24"/>
        </w:rPr>
        <w:t>an overview of the national building stock, based, as appropriate, on statistical sampling</w:t>
      </w:r>
      <w:r w:rsidR="00727139" w:rsidRPr="00000176">
        <w:rPr>
          <w:rFonts w:ascii="Times New Roman" w:hAnsi="Times New Roman" w:cs="Times New Roman"/>
          <w:b/>
          <w:sz w:val="24"/>
          <w:szCs w:val="24"/>
        </w:rPr>
        <w:t xml:space="preserve"> </w:t>
      </w:r>
      <w:commentRangeStart w:id="7"/>
      <w:r w:rsidR="00727139" w:rsidRPr="00000176">
        <w:rPr>
          <w:rFonts w:ascii="Times New Roman" w:hAnsi="Times New Roman" w:cs="Times New Roman"/>
          <w:b/>
          <w:i/>
          <w:sz w:val="24"/>
          <w:szCs w:val="24"/>
        </w:rPr>
        <w:t>and expected share of renovated buildings in 2020</w:t>
      </w:r>
      <w:bookmarkEnd w:id="6"/>
      <w:commentRangeEnd w:id="7"/>
      <w:r w:rsidR="00CF3EC9">
        <w:rPr>
          <w:rStyle w:val="CommentReference"/>
        </w:rPr>
        <w:commentReference w:id="7"/>
      </w:r>
      <w:r w:rsidRPr="0028245E">
        <w:rPr>
          <w:rFonts w:ascii="Times New Roman" w:hAnsi="Times New Roman" w:cs="Times New Roman"/>
          <w:i/>
          <w:sz w:val="24"/>
          <w:szCs w:val="24"/>
        </w:rPr>
        <w:t>;</w:t>
      </w:r>
      <w:r w:rsidRPr="0028245E">
        <w:rPr>
          <w:rFonts w:ascii="Times New Roman" w:hAnsi="Times New Roman" w:cs="Times New Roman"/>
          <w:sz w:val="24"/>
          <w:szCs w:val="24"/>
        </w:rPr>
        <w:t>"</w:t>
      </w:r>
    </w:p>
    <w:p w14:paraId="44E14883" w14:textId="77777777" w:rsidR="00C5341B" w:rsidRDefault="00C5341B" w:rsidP="00CE6267">
      <w:pPr>
        <w:spacing w:after="0"/>
        <w:jc w:val="both"/>
        <w:rPr>
          <w:rFonts w:ascii="Times New Roman" w:hAnsi="Times New Roman" w:cs="Times New Roman"/>
          <w:sz w:val="24"/>
          <w:szCs w:val="24"/>
        </w:rPr>
      </w:pPr>
    </w:p>
    <w:p w14:paraId="27AE7562" w14:textId="77777777" w:rsidR="001225C3" w:rsidRPr="00000176" w:rsidRDefault="001225C3"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In addition to requirements which </w:t>
      </w:r>
      <w:r w:rsidR="00850A48" w:rsidRPr="00000176">
        <w:rPr>
          <w:rFonts w:ascii="Times New Roman" w:hAnsi="Times New Roman" w:cs="Times New Roman"/>
          <w:sz w:val="24"/>
          <w:szCs w:val="24"/>
        </w:rPr>
        <w:t xml:space="preserve">already </w:t>
      </w:r>
      <w:r w:rsidRPr="00000176">
        <w:rPr>
          <w:rFonts w:ascii="Times New Roman" w:hAnsi="Times New Roman" w:cs="Times New Roman"/>
          <w:sz w:val="24"/>
          <w:szCs w:val="24"/>
        </w:rPr>
        <w:t>existed under Article 4(a) EED, Member States will now have to include the expected share of renovated buildings in 2020 in their overview of the national building stock (see above in</w:t>
      </w:r>
      <w:r w:rsidR="003F2E91" w:rsidRPr="00000176">
        <w:rPr>
          <w:rFonts w:ascii="Times New Roman" w:hAnsi="Times New Roman" w:cs="Times New Roman"/>
          <w:sz w:val="24"/>
          <w:szCs w:val="24"/>
        </w:rPr>
        <w:t xml:space="preserve"> bold</w:t>
      </w:r>
      <w:r w:rsidRPr="00000176">
        <w:rPr>
          <w:rFonts w:ascii="Times New Roman" w:hAnsi="Times New Roman" w:cs="Times New Roman"/>
          <w:sz w:val="24"/>
          <w:szCs w:val="24"/>
        </w:rPr>
        <w:t xml:space="preserve"> italics).</w:t>
      </w:r>
    </w:p>
    <w:p w14:paraId="6621910C" w14:textId="77777777" w:rsidR="00C5341B" w:rsidRDefault="00C5341B" w:rsidP="00CE6267">
      <w:pPr>
        <w:spacing w:after="0"/>
        <w:jc w:val="both"/>
        <w:rPr>
          <w:rFonts w:ascii="Times New Roman" w:hAnsi="Times New Roman" w:cs="Times New Roman"/>
          <w:sz w:val="24"/>
          <w:szCs w:val="24"/>
        </w:rPr>
      </w:pPr>
    </w:p>
    <w:p w14:paraId="6ADA0186" w14:textId="24DDB3B1" w:rsidR="00E83803" w:rsidRPr="00000176" w:rsidRDefault="006B0E32" w:rsidP="00CE6267">
      <w:pPr>
        <w:spacing w:after="0"/>
        <w:jc w:val="both"/>
        <w:rPr>
          <w:rFonts w:ascii="Times New Roman" w:hAnsi="Times New Roman" w:cs="Times New Roman"/>
          <w:sz w:val="24"/>
          <w:szCs w:val="24"/>
        </w:rPr>
      </w:pPr>
      <w:r>
        <w:rPr>
          <w:rFonts w:ascii="Times New Roman" w:hAnsi="Times New Roman" w:cs="Times New Roman"/>
          <w:sz w:val="24"/>
          <w:szCs w:val="24"/>
        </w:rPr>
        <w:t>T</w:t>
      </w:r>
      <w:r w:rsidR="00301EC0" w:rsidRPr="00000176">
        <w:rPr>
          <w:rFonts w:ascii="Times New Roman" w:hAnsi="Times New Roman" w:cs="Times New Roman"/>
          <w:sz w:val="24"/>
          <w:szCs w:val="24"/>
        </w:rPr>
        <w:t xml:space="preserve">he expected share of renovated buildings may be expressed in different ways such as: </w:t>
      </w:r>
    </w:p>
    <w:p w14:paraId="48795D9D" w14:textId="77777777" w:rsidR="00E83803" w:rsidRPr="00231B0D" w:rsidRDefault="00301EC0"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percentage (%)</w:t>
      </w:r>
    </w:p>
    <w:p w14:paraId="73092FDE" w14:textId="77777777" w:rsidR="00E83803" w:rsidRPr="00231B0D" w:rsidRDefault="00E83803"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a</w:t>
      </w:r>
      <w:r w:rsidR="00301EC0" w:rsidRPr="00231B0D">
        <w:rPr>
          <w:rFonts w:ascii="Times New Roman" w:hAnsi="Times New Roman" w:cs="Times New Roman"/>
          <w:color w:val="000000"/>
          <w:sz w:val="24"/>
          <w:szCs w:val="24"/>
        </w:rPr>
        <w:t>bsolute number</w:t>
      </w:r>
    </w:p>
    <w:p w14:paraId="427E3DB3" w14:textId="77777777" w:rsidR="00E83803" w:rsidRPr="00000176" w:rsidRDefault="00301EC0" w:rsidP="00231B0D">
      <w:pPr>
        <w:pStyle w:val="ListParagraph"/>
        <w:numPr>
          <w:ilvl w:val="0"/>
          <w:numId w:val="9"/>
        </w:numPr>
        <w:spacing w:after="0"/>
        <w:jc w:val="both"/>
        <w:rPr>
          <w:rFonts w:ascii="Times New Roman" w:hAnsi="Times New Roman" w:cs="Times New Roman"/>
          <w:sz w:val="24"/>
          <w:szCs w:val="24"/>
        </w:rPr>
      </w:pPr>
      <w:r w:rsidRPr="00231B0D">
        <w:rPr>
          <w:rFonts w:ascii="Times New Roman" w:hAnsi="Times New Roman" w:cs="Times New Roman"/>
          <w:color w:val="000000"/>
          <w:sz w:val="24"/>
          <w:szCs w:val="24"/>
        </w:rPr>
        <w:t>m</w:t>
      </w:r>
      <w:r w:rsidRPr="000A4358">
        <w:rPr>
          <w:rFonts w:ascii="Times New Roman" w:hAnsi="Times New Roman" w:cs="Times New Roman"/>
          <w:color w:val="000000"/>
          <w:sz w:val="24"/>
          <w:szCs w:val="24"/>
          <w:vertAlign w:val="superscript"/>
        </w:rPr>
        <w:t>2</w:t>
      </w:r>
      <w:r w:rsidRPr="00231B0D">
        <w:rPr>
          <w:rFonts w:ascii="Times New Roman" w:hAnsi="Times New Roman" w:cs="Times New Roman"/>
          <w:color w:val="000000"/>
          <w:sz w:val="24"/>
          <w:szCs w:val="24"/>
        </w:rPr>
        <w:t xml:space="preserve"> of renovated space per type of building.</w:t>
      </w:r>
      <w:r w:rsidR="00E83803" w:rsidRPr="00000176">
        <w:rPr>
          <w:rFonts w:ascii="Times New Roman" w:hAnsi="Times New Roman" w:cs="Times New Roman"/>
          <w:sz w:val="24"/>
          <w:szCs w:val="24"/>
        </w:rPr>
        <w:t xml:space="preserve"> </w:t>
      </w:r>
    </w:p>
    <w:p w14:paraId="30C65EBD" w14:textId="77777777" w:rsidR="00C5341B" w:rsidRDefault="00C5341B" w:rsidP="00CE6267">
      <w:pPr>
        <w:spacing w:after="0"/>
        <w:jc w:val="both"/>
        <w:rPr>
          <w:rFonts w:ascii="Times New Roman" w:hAnsi="Times New Roman" w:cs="Times New Roman"/>
          <w:sz w:val="24"/>
          <w:szCs w:val="24"/>
        </w:rPr>
      </w:pPr>
    </w:p>
    <w:p w14:paraId="0011E528" w14:textId="7B549335" w:rsidR="00301EC0" w:rsidRPr="00000176" w:rsidRDefault="0051508F"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R</w:t>
      </w:r>
      <w:r w:rsidR="00E83803" w:rsidRPr="00000176">
        <w:rPr>
          <w:rFonts w:ascii="Times New Roman" w:hAnsi="Times New Roman" w:cs="Times New Roman"/>
          <w:sz w:val="24"/>
          <w:szCs w:val="24"/>
        </w:rPr>
        <w:t xml:space="preserve">enovation depth could also be used to better </w:t>
      </w:r>
      <w:r w:rsidR="006B0E32">
        <w:rPr>
          <w:rFonts w:ascii="Times New Roman" w:hAnsi="Times New Roman" w:cs="Times New Roman"/>
          <w:sz w:val="24"/>
          <w:szCs w:val="24"/>
        </w:rPr>
        <w:t>describe</w:t>
      </w:r>
      <w:r w:rsidR="006B0E32" w:rsidRPr="00000176">
        <w:rPr>
          <w:rFonts w:ascii="Times New Roman" w:hAnsi="Times New Roman" w:cs="Times New Roman"/>
          <w:sz w:val="24"/>
          <w:szCs w:val="24"/>
        </w:rPr>
        <w:t xml:space="preserve"> </w:t>
      </w:r>
      <w:r w:rsidR="00E83803" w:rsidRPr="00000176">
        <w:rPr>
          <w:rFonts w:ascii="Times New Roman" w:hAnsi="Times New Roman" w:cs="Times New Roman"/>
          <w:sz w:val="24"/>
          <w:szCs w:val="24"/>
        </w:rPr>
        <w:t xml:space="preserve">the nature of renovated buildings, such as </w:t>
      </w:r>
      <w:commentRangeStart w:id="8"/>
      <w:r w:rsidR="00E83803" w:rsidRPr="00000176">
        <w:rPr>
          <w:rFonts w:ascii="Times New Roman" w:hAnsi="Times New Roman" w:cs="Times New Roman"/>
          <w:sz w:val="24"/>
          <w:szCs w:val="24"/>
        </w:rPr>
        <w:t>"light," "medium" and "deep"</w:t>
      </w:r>
      <w:r w:rsidRPr="00000176">
        <w:rPr>
          <w:rFonts w:ascii="Times New Roman" w:hAnsi="Times New Roman" w:cs="Times New Roman"/>
          <w:sz w:val="24"/>
          <w:szCs w:val="24"/>
        </w:rPr>
        <w:t xml:space="preserve">. </w:t>
      </w:r>
      <w:commentRangeEnd w:id="8"/>
      <w:r w:rsidR="00CF3EC9">
        <w:rPr>
          <w:rStyle w:val="CommentReference"/>
        </w:rPr>
        <w:commentReference w:id="8"/>
      </w:r>
      <w:r w:rsidR="00A6121B" w:rsidRPr="00000176">
        <w:rPr>
          <w:rFonts w:ascii="Times New Roman" w:hAnsi="Times New Roman" w:cs="Times New Roman"/>
          <w:sz w:val="24"/>
          <w:szCs w:val="24"/>
        </w:rPr>
        <w:t>T</w:t>
      </w:r>
      <w:r w:rsidR="00E83803" w:rsidRPr="00000176">
        <w:rPr>
          <w:rFonts w:ascii="Times New Roman" w:hAnsi="Times New Roman" w:cs="Times New Roman"/>
          <w:sz w:val="24"/>
          <w:szCs w:val="24"/>
        </w:rPr>
        <w:t>ransformation into nearly zero-energy buildings (NZEB)</w:t>
      </w:r>
      <w:r w:rsidRPr="00000176">
        <w:rPr>
          <w:rFonts w:ascii="Times New Roman" w:hAnsi="Times New Roman" w:cs="Times New Roman"/>
          <w:sz w:val="24"/>
          <w:szCs w:val="24"/>
        </w:rPr>
        <w:t xml:space="preserve"> could be another indicator</w:t>
      </w:r>
      <w:r w:rsidR="00E83803" w:rsidRPr="00000176">
        <w:rPr>
          <w:rFonts w:ascii="Times New Roman" w:hAnsi="Times New Roman" w:cs="Times New Roman"/>
          <w:sz w:val="24"/>
          <w:szCs w:val="24"/>
        </w:rPr>
        <w:t>.</w:t>
      </w:r>
      <w:r w:rsidR="007314DD" w:rsidRPr="00000176">
        <w:rPr>
          <w:rStyle w:val="FootnoteReference"/>
          <w:rFonts w:ascii="Times New Roman" w:hAnsi="Times New Roman" w:cs="Times New Roman"/>
          <w:sz w:val="24"/>
          <w:szCs w:val="24"/>
        </w:rPr>
        <w:footnoteReference w:id="4"/>
      </w:r>
      <w:r w:rsidR="00E83803" w:rsidRPr="00000176">
        <w:rPr>
          <w:rFonts w:ascii="Times New Roman" w:hAnsi="Times New Roman" w:cs="Times New Roman"/>
          <w:sz w:val="24"/>
          <w:szCs w:val="24"/>
        </w:rPr>
        <w:t xml:space="preserve"> </w:t>
      </w:r>
    </w:p>
    <w:p w14:paraId="452D4948" w14:textId="77777777" w:rsidR="00C5341B" w:rsidRDefault="00C5341B" w:rsidP="00CE6267">
      <w:pPr>
        <w:spacing w:after="0"/>
        <w:jc w:val="both"/>
        <w:rPr>
          <w:rFonts w:ascii="Times New Roman" w:hAnsi="Times New Roman" w:cs="Times New Roman"/>
          <w:sz w:val="24"/>
          <w:szCs w:val="24"/>
        </w:rPr>
      </w:pPr>
    </w:p>
    <w:p w14:paraId="4990DCF0" w14:textId="77777777" w:rsidR="00301EC0" w:rsidRDefault="00301EC0"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w:t>
      </w:r>
      <w:r w:rsidR="00C125AB" w:rsidRPr="00000176">
        <w:rPr>
          <w:rFonts w:ascii="Times New Roman" w:hAnsi="Times New Roman" w:cs="Times New Roman"/>
          <w:sz w:val="24"/>
          <w:szCs w:val="24"/>
        </w:rPr>
        <w:t>E</w:t>
      </w:r>
      <w:r w:rsidRPr="00000176">
        <w:rPr>
          <w:rFonts w:ascii="Times New Roman" w:hAnsi="Times New Roman" w:cs="Times New Roman"/>
          <w:sz w:val="24"/>
          <w:szCs w:val="24"/>
        </w:rPr>
        <w:t>xpected share"</w:t>
      </w:r>
      <w:r w:rsidR="00C125AB" w:rsidRPr="00000176">
        <w:rPr>
          <w:rFonts w:ascii="Times New Roman" w:hAnsi="Times New Roman" w:cs="Times New Roman"/>
          <w:sz w:val="24"/>
          <w:szCs w:val="24"/>
        </w:rPr>
        <w:t xml:space="preserve"> is not intended as</w:t>
      </w:r>
      <w:r w:rsidR="00E83803" w:rsidRPr="00000176">
        <w:rPr>
          <w:rFonts w:ascii="Times New Roman" w:hAnsi="Times New Roman" w:cs="Times New Roman"/>
          <w:sz w:val="24"/>
          <w:szCs w:val="24"/>
        </w:rPr>
        <w:t xml:space="preserve"> a binding target but rather</w:t>
      </w:r>
      <w:r w:rsidR="00C125AB" w:rsidRPr="00000176">
        <w:rPr>
          <w:rFonts w:ascii="Times New Roman" w:hAnsi="Times New Roman" w:cs="Times New Roman"/>
          <w:sz w:val="24"/>
          <w:szCs w:val="24"/>
        </w:rPr>
        <w:t xml:space="preserve"> as</w:t>
      </w:r>
      <w:r w:rsidR="00E83803" w:rsidRPr="00000176">
        <w:rPr>
          <w:rFonts w:ascii="Times New Roman" w:hAnsi="Times New Roman" w:cs="Times New Roman"/>
          <w:sz w:val="24"/>
          <w:szCs w:val="24"/>
        </w:rPr>
        <w:t xml:space="preserve"> a figure that realistically represents the likely rate of completed building renovation in 2020.</w:t>
      </w:r>
      <w:r w:rsidR="005B4FA4" w:rsidRPr="00000176">
        <w:rPr>
          <w:rFonts w:ascii="Times New Roman" w:hAnsi="Times New Roman" w:cs="Times New Roman"/>
          <w:sz w:val="24"/>
          <w:szCs w:val="24"/>
        </w:rPr>
        <w:t xml:space="preserve"> Member States can also mention the expected share</w:t>
      </w:r>
      <w:r w:rsidR="006C309A" w:rsidRPr="00000176">
        <w:rPr>
          <w:rFonts w:ascii="Times New Roman" w:hAnsi="Times New Roman" w:cs="Times New Roman"/>
          <w:sz w:val="24"/>
          <w:szCs w:val="24"/>
        </w:rPr>
        <w:t xml:space="preserve"> of completed renovation</w:t>
      </w:r>
      <w:r w:rsidR="005B4FA4" w:rsidRPr="00000176">
        <w:rPr>
          <w:rFonts w:ascii="Times New Roman" w:hAnsi="Times New Roman" w:cs="Times New Roman"/>
          <w:sz w:val="24"/>
          <w:szCs w:val="24"/>
        </w:rPr>
        <w:t xml:space="preserve"> for 2030, 2040 and 2050, in line with the </w:t>
      </w:r>
      <w:r w:rsidR="006C309A" w:rsidRPr="00000176">
        <w:rPr>
          <w:rFonts w:ascii="Times New Roman" w:hAnsi="Times New Roman" w:cs="Times New Roman"/>
          <w:sz w:val="24"/>
          <w:szCs w:val="24"/>
        </w:rPr>
        <w:t xml:space="preserve">requirement </w:t>
      </w:r>
      <w:r w:rsidR="005B4FA4" w:rsidRPr="00000176">
        <w:rPr>
          <w:rFonts w:ascii="Times New Roman" w:hAnsi="Times New Roman" w:cs="Times New Roman"/>
          <w:sz w:val="24"/>
          <w:szCs w:val="24"/>
        </w:rPr>
        <w:t>to provide indicative milestones for these years.</w:t>
      </w:r>
    </w:p>
    <w:p w14:paraId="75613A13" w14:textId="77777777" w:rsidR="00C5341B" w:rsidRPr="00000176" w:rsidRDefault="00C5341B" w:rsidP="00CE6267">
      <w:pPr>
        <w:spacing w:after="0"/>
        <w:jc w:val="both"/>
        <w:rPr>
          <w:rFonts w:ascii="Times New Roman" w:hAnsi="Times New Roman" w:cs="Times New Roman"/>
          <w:sz w:val="24"/>
          <w:szCs w:val="24"/>
        </w:rPr>
      </w:pPr>
    </w:p>
    <w:p w14:paraId="1C756F57" w14:textId="77777777" w:rsidR="00465BEE" w:rsidRPr="00000176" w:rsidRDefault="00465BEE" w:rsidP="00CE6267">
      <w:pPr>
        <w:pStyle w:val="Heading3"/>
        <w:spacing w:before="0" w:after="0" w:line="276" w:lineRule="auto"/>
        <w:rPr>
          <w:szCs w:val="24"/>
        </w:rPr>
      </w:pPr>
      <w:bookmarkStart w:id="9" w:name="_Toc523437038"/>
      <w:bookmarkStart w:id="10" w:name="_Toc524340586"/>
      <w:bookmarkEnd w:id="9"/>
      <w:r w:rsidRPr="00000176">
        <w:rPr>
          <w:szCs w:val="24"/>
        </w:rPr>
        <w:t>Cost effective approaches</w:t>
      </w:r>
      <w:r w:rsidR="009A4DC0" w:rsidRPr="00000176">
        <w:rPr>
          <w:szCs w:val="24"/>
        </w:rPr>
        <w:t xml:space="preserve"> to renovation</w:t>
      </w:r>
      <w:r w:rsidR="007F36E9" w:rsidRPr="00000176">
        <w:rPr>
          <w:szCs w:val="24"/>
        </w:rPr>
        <w:t xml:space="preserve"> (Article 2a(1)(b)</w:t>
      </w:r>
      <w:r w:rsidR="00B47FDF" w:rsidRPr="00000176">
        <w:rPr>
          <w:szCs w:val="24"/>
        </w:rPr>
        <w:t>)</w:t>
      </w:r>
      <w:bookmarkEnd w:id="10"/>
    </w:p>
    <w:p w14:paraId="603D2416" w14:textId="73E01FD5" w:rsidR="001E282D" w:rsidRDefault="001E282D"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Article 4(b) of the EED already provided that </w:t>
      </w:r>
      <w:r w:rsidR="00D42500" w:rsidRPr="00000176">
        <w:rPr>
          <w:rFonts w:ascii="Times New Roman" w:hAnsi="Times New Roman" w:cs="Times New Roman"/>
          <w:sz w:val="24"/>
          <w:szCs w:val="24"/>
        </w:rPr>
        <w:t xml:space="preserve">LTRS </w:t>
      </w:r>
      <w:r w:rsidR="00365060" w:rsidRPr="00000176">
        <w:rPr>
          <w:rFonts w:ascii="Times New Roman" w:hAnsi="Times New Roman" w:cs="Times New Roman"/>
          <w:sz w:val="24"/>
          <w:szCs w:val="24"/>
        </w:rPr>
        <w:t xml:space="preserve">must </w:t>
      </w:r>
      <w:r w:rsidR="00D42500" w:rsidRPr="00000176">
        <w:rPr>
          <w:rFonts w:ascii="Times New Roman" w:hAnsi="Times New Roman" w:cs="Times New Roman"/>
          <w:sz w:val="24"/>
          <w:szCs w:val="24"/>
        </w:rPr>
        <w:t xml:space="preserve">identify cost-effective approaches to renovation relevant </w:t>
      </w:r>
      <w:r w:rsidR="007B607F" w:rsidRPr="00000176">
        <w:rPr>
          <w:rFonts w:ascii="Times New Roman" w:hAnsi="Times New Roman" w:cs="Times New Roman"/>
          <w:sz w:val="24"/>
          <w:szCs w:val="24"/>
        </w:rPr>
        <w:t xml:space="preserve">to </w:t>
      </w:r>
      <w:r w:rsidR="00D42500" w:rsidRPr="00000176">
        <w:rPr>
          <w:rFonts w:ascii="Times New Roman" w:hAnsi="Times New Roman" w:cs="Times New Roman"/>
          <w:sz w:val="24"/>
          <w:szCs w:val="24"/>
        </w:rPr>
        <w:t>building type and climatic zone.</w:t>
      </w:r>
    </w:p>
    <w:p w14:paraId="2DFDF2D3" w14:textId="77777777" w:rsidR="00C5341B" w:rsidRPr="00000176" w:rsidRDefault="00C5341B" w:rsidP="00CE6267">
      <w:pPr>
        <w:spacing w:after="0"/>
        <w:jc w:val="both"/>
        <w:rPr>
          <w:rFonts w:ascii="Times New Roman" w:hAnsi="Times New Roman" w:cs="Times New Roman"/>
          <w:sz w:val="24"/>
          <w:szCs w:val="24"/>
        </w:rPr>
      </w:pPr>
    </w:p>
    <w:p w14:paraId="249E44C6" w14:textId="4FEF5759" w:rsidR="00D42500" w:rsidRPr="00000176" w:rsidRDefault="00D42500" w:rsidP="00CE6267">
      <w:pPr>
        <w:spacing w:after="0"/>
        <w:jc w:val="both"/>
        <w:rPr>
          <w:rFonts w:ascii="Times New Roman" w:hAnsi="Times New Roman" w:cs="Times New Roman"/>
          <w:sz w:val="24"/>
          <w:szCs w:val="24"/>
          <w:lang w:eastAsia="fr-BE"/>
        </w:rPr>
      </w:pPr>
      <w:r w:rsidRPr="00000176">
        <w:rPr>
          <w:rFonts w:ascii="Times New Roman" w:hAnsi="Times New Roman" w:cs="Times New Roman"/>
          <w:sz w:val="24"/>
          <w:szCs w:val="24"/>
        </w:rPr>
        <w:t>Article 2a</w:t>
      </w:r>
      <w:r w:rsidR="007F36E9" w:rsidRPr="00000176">
        <w:rPr>
          <w:rFonts w:ascii="Times New Roman" w:hAnsi="Times New Roman" w:cs="Times New Roman"/>
          <w:sz w:val="24"/>
          <w:szCs w:val="24"/>
        </w:rPr>
        <w:t>(1)</w:t>
      </w:r>
      <w:r w:rsidRPr="00000176">
        <w:rPr>
          <w:rFonts w:ascii="Times New Roman" w:hAnsi="Times New Roman" w:cs="Times New Roman"/>
          <w:sz w:val="24"/>
          <w:szCs w:val="24"/>
        </w:rPr>
        <w:t xml:space="preserve">(b) of the revised EPBD provides </w:t>
      </w:r>
      <w:r w:rsidR="0024701C" w:rsidRPr="00000176">
        <w:rPr>
          <w:rFonts w:ascii="Times New Roman" w:hAnsi="Times New Roman" w:cs="Times New Roman"/>
          <w:sz w:val="24"/>
          <w:szCs w:val="24"/>
        </w:rPr>
        <w:t xml:space="preserve">that LTRS </w:t>
      </w:r>
      <w:r w:rsidR="00677F9B" w:rsidRPr="00000176">
        <w:rPr>
          <w:rFonts w:ascii="Times New Roman" w:hAnsi="Times New Roman" w:cs="Times New Roman"/>
          <w:sz w:val="24"/>
          <w:szCs w:val="24"/>
        </w:rPr>
        <w:t xml:space="preserve">must </w:t>
      </w:r>
      <w:r w:rsidR="0024701C" w:rsidRPr="00000176">
        <w:rPr>
          <w:rFonts w:ascii="Times New Roman" w:hAnsi="Times New Roman" w:cs="Times New Roman"/>
          <w:sz w:val="24"/>
          <w:szCs w:val="24"/>
        </w:rPr>
        <w:t>encompass:</w:t>
      </w:r>
    </w:p>
    <w:p w14:paraId="19D59A27" w14:textId="32FA4E9D" w:rsidR="00221E96" w:rsidRDefault="001E282D" w:rsidP="00CE6267">
      <w:pPr>
        <w:pStyle w:val="ListParagraph"/>
        <w:spacing w:after="0"/>
        <w:jc w:val="both"/>
        <w:rPr>
          <w:rFonts w:ascii="Times New Roman" w:hAnsi="Times New Roman" w:cs="Times New Roman"/>
          <w:b/>
          <w:sz w:val="24"/>
          <w:szCs w:val="24"/>
        </w:rPr>
      </w:pPr>
      <w:bookmarkStart w:id="11" w:name="_DV_C191"/>
      <w:r w:rsidRPr="00000176">
        <w:rPr>
          <w:rFonts w:ascii="Times New Roman" w:hAnsi="Times New Roman" w:cs="Times New Roman"/>
          <w:sz w:val="24"/>
          <w:szCs w:val="24"/>
        </w:rPr>
        <w:lastRenderedPageBreak/>
        <w:t>the identification of cost-effective approaches to renovation relevant to the building type and climatic zone,</w:t>
      </w:r>
      <w:r w:rsidRPr="00000176">
        <w:rPr>
          <w:rFonts w:ascii="Times New Roman" w:hAnsi="Times New Roman" w:cs="Times New Roman"/>
          <w:b/>
          <w:i/>
          <w:sz w:val="24"/>
          <w:szCs w:val="24"/>
        </w:rPr>
        <w:t xml:space="preserve"> considering </w:t>
      </w:r>
      <w:proofErr w:type="gramStart"/>
      <w:r w:rsidRPr="00000176">
        <w:rPr>
          <w:rFonts w:ascii="Times New Roman" w:hAnsi="Times New Roman" w:cs="Times New Roman"/>
          <w:b/>
          <w:i/>
          <w:sz w:val="24"/>
          <w:szCs w:val="24"/>
        </w:rPr>
        <w:t>potential</w:t>
      </w:r>
      <w:proofErr w:type="gramEnd"/>
      <w:r w:rsidRPr="00000176">
        <w:rPr>
          <w:rFonts w:ascii="Times New Roman" w:hAnsi="Times New Roman" w:cs="Times New Roman"/>
          <w:b/>
          <w:i/>
          <w:sz w:val="24"/>
          <w:szCs w:val="24"/>
        </w:rPr>
        <w:t xml:space="preserve"> relevant trigger points, where applicable, in the life-cycle of the building;</w:t>
      </w:r>
      <w:r w:rsidRPr="00000176">
        <w:rPr>
          <w:rFonts w:ascii="Times New Roman" w:hAnsi="Times New Roman" w:cs="Times New Roman"/>
          <w:b/>
          <w:sz w:val="24"/>
          <w:szCs w:val="24"/>
        </w:rPr>
        <w:t xml:space="preserve"> </w:t>
      </w:r>
      <w:bookmarkEnd w:id="11"/>
    </w:p>
    <w:p w14:paraId="02594F50" w14:textId="77777777" w:rsidR="00C5341B" w:rsidRPr="0092003C" w:rsidRDefault="00C5341B" w:rsidP="00CE6267">
      <w:pPr>
        <w:pStyle w:val="ListParagraph"/>
        <w:spacing w:after="0"/>
        <w:jc w:val="both"/>
      </w:pPr>
    </w:p>
    <w:p w14:paraId="3287825E" w14:textId="2BF6D7D6" w:rsidR="00D42500" w:rsidRPr="00000176" w:rsidRDefault="00AA27DE"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Therefore, i</w:t>
      </w:r>
      <w:r w:rsidR="00D42500" w:rsidRPr="00000176">
        <w:rPr>
          <w:rFonts w:ascii="Times New Roman" w:hAnsi="Times New Roman" w:cs="Times New Roman"/>
          <w:sz w:val="24"/>
          <w:szCs w:val="24"/>
        </w:rPr>
        <w:t xml:space="preserve">n addition to requirements which </w:t>
      </w:r>
      <w:r w:rsidR="00850A48" w:rsidRPr="00000176">
        <w:rPr>
          <w:rFonts w:ascii="Times New Roman" w:hAnsi="Times New Roman" w:cs="Times New Roman"/>
          <w:sz w:val="24"/>
          <w:szCs w:val="24"/>
        </w:rPr>
        <w:t xml:space="preserve">already </w:t>
      </w:r>
      <w:r w:rsidR="00D42500" w:rsidRPr="00000176">
        <w:rPr>
          <w:rFonts w:ascii="Times New Roman" w:hAnsi="Times New Roman" w:cs="Times New Roman"/>
          <w:sz w:val="24"/>
          <w:szCs w:val="24"/>
        </w:rPr>
        <w:t>existed under Article 4(</w:t>
      </w:r>
      <w:r w:rsidR="00153ECC" w:rsidRPr="00000176">
        <w:rPr>
          <w:rFonts w:ascii="Times New Roman" w:hAnsi="Times New Roman" w:cs="Times New Roman"/>
          <w:sz w:val="24"/>
          <w:szCs w:val="24"/>
        </w:rPr>
        <w:t>b</w:t>
      </w:r>
      <w:r w:rsidR="00D42500" w:rsidRPr="00000176">
        <w:rPr>
          <w:rFonts w:ascii="Times New Roman" w:hAnsi="Times New Roman" w:cs="Times New Roman"/>
          <w:sz w:val="24"/>
          <w:szCs w:val="24"/>
        </w:rPr>
        <w:t xml:space="preserve">) EED, Member States will </w:t>
      </w:r>
      <w:r w:rsidRPr="00000176">
        <w:rPr>
          <w:rFonts w:ascii="Times New Roman" w:hAnsi="Times New Roman" w:cs="Times New Roman"/>
          <w:sz w:val="24"/>
          <w:szCs w:val="24"/>
        </w:rPr>
        <w:t xml:space="preserve">now </w:t>
      </w:r>
      <w:r w:rsidR="00D42500" w:rsidRPr="00000176">
        <w:rPr>
          <w:rFonts w:ascii="Times New Roman" w:hAnsi="Times New Roman" w:cs="Times New Roman"/>
          <w:sz w:val="24"/>
          <w:szCs w:val="24"/>
        </w:rPr>
        <w:t>have to consider potential trigger points in the life cycle of the building (see above in bold italics).</w:t>
      </w:r>
    </w:p>
    <w:p w14:paraId="37446E8E" w14:textId="77777777" w:rsidR="00C5341B" w:rsidRDefault="00C5341B" w:rsidP="00CE6267">
      <w:pPr>
        <w:spacing w:after="0"/>
        <w:jc w:val="both"/>
        <w:rPr>
          <w:rFonts w:ascii="Times New Roman" w:hAnsi="Times New Roman" w:cs="Times New Roman"/>
          <w:sz w:val="24"/>
          <w:szCs w:val="24"/>
        </w:rPr>
      </w:pPr>
    </w:p>
    <w:p w14:paraId="456509B8" w14:textId="77777777" w:rsidR="00E85F81" w:rsidRDefault="00242398"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Recital 12 </w:t>
      </w:r>
      <w:r w:rsidR="00C17806" w:rsidRPr="00000176">
        <w:rPr>
          <w:rFonts w:ascii="Times New Roman" w:hAnsi="Times New Roman" w:cs="Times New Roman"/>
          <w:sz w:val="24"/>
          <w:szCs w:val="24"/>
        </w:rPr>
        <w:t>of Directive (EU) 2018/844</w:t>
      </w:r>
      <w:r w:rsidR="006607C7" w:rsidRPr="00000176">
        <w:rPr>
          <w:rFonts w:ascii="Times New Roman" w:hAnsi="Times New Roman" w:cs="Times New Roman"/>
          <w:sz w:val="24"/>
          <w:szCs w:val="24"/>
        </w:rPr>
        <w:t xml:space="preserve"> </w:t>
      </w:r>
      <w:r w:rsidR="00A82121" w:rsidRPr="00000176">
        <w:rPr>
          <w:rFonts w:ascii="Times New Roman" w:hAnsi="Times New Roman" w:cs="Times New Roman"/>
          <w:sz w:val="24"/>
          <w:szCs w:val="24"/>
        </w:rPr>
        <w:t>clarifies</w:t>
      </w:r>
      <w:r w:rsidR="00E625E9" w:rsidRPr="00000176">
        <w:rPr>
          <w:rFonts w:ascii="Times New Roman" w:hAnsi="Times New Roman" w:cs="Times New Roman"/>
          <w:sz w:val="24"/>
          <w:szCs w:val="24"/>
        </w:rPr>
        <w:t xml:space="preserve"> the concept of </w:t>
      </w:r>
      <w:r w:rsidRPr="00000176">
        <w:rPr>
          <w:rFonts w:ascii="Times New Roman" w:hAnsi="Times New Roman" w:cs="Times New Roman"/>
          <w:sz w:val="24"/>
          <w:szCs w:val="24"/>
        </w:rPr>
        <w:t>"</w:t>
      </w:r>
      <w:r w:rsidRPr="00000176">
        <w:rPr>
          <w:rFonts w:ascii="Times New Roman" w:hAnsi="Times New Roman" w:cs="Times New Roman"/>
          <w:b/>
          <w:sz w:val="24"/>
          <w:szCs w:val="24"/>
        </w:rPr>
        <w:t>trigger point</w:t>
      </w:r>
      <w:r w:rsidRPr="00000176">
        <w:rPr>
          <w:rFonts w:ascii="Times New Roman" w:hAnsi="Times New Roman" w:cs="Times New Roman"/>
          <w:sz w:val="24"/>
          <w:szCs w:val="24"/>
        </w:rPr>
        <w:t xml:space="preserve">" </w:t>
      </w:r>
      <w:r w:rsidR="00AC7654" w:rsidRPr="00000176">
        <w:rPr>
          <w:rFonts w:ascii="Times New Roman" w:hAnsi="Times New Roman" w:cs="Times New Roman"/>
          <w:sz w:val="24"/>
          <w:szCs w:val="24"/>
        </w:rPr>
        <w:t xml:space="preserve">as </w:t>
      </w:r>
      <w:r w:rsidR="00E625E9" w:rsidRPr="00000176">
        <w:rPr>
          <w:rFonts w:ascii="Times New Roman" w:hAnsi="Times New Roman" w:cs="Times New Roman"/>
          <w:sz w:val="24"/>
          <w:szCs w:val="24"/>
        </w:rPr>
        <w:t>"</w:t>
      </w:r>
      <w:r w:rsidRPr="00000176">
        <w:rPr>
          <w:rFonts w:ascii="Times New Roman" w:hAnsi="Times New Roman" w:cs="Times New Roman"/>
          <w:i/>
          <w:sz w:val="24"/>
          <w:szCs w:val="24"/>
        </w:rPr>
        <w:t>an opportune moment in the life cycle of a building, for example from a cost-effectiveness or disruption perspective, for carrying out energy efficiency renovations</w:t>
      </w:r>
      <w:r w:rsidR="00AC7654" w:rsidRPr="00000176">
        <w:rPr>
          <w:rFonts w:ascii="Times New Roman" w:hAnsi="Times New Roman" w:cs="Times New Roman"/>
          <w:sz w:val="24"/>
          <w:szCs w:val="24"/>
        </w:rPr>
        <w:t xml:space="preserve">". </w:t>
      </w:r>
    </w:p>
    <w:p w14:paraId="575203CC" w14:textId="77777777" w:rsidR="00C5341B" w:rsidRDefault="00C5341B" w:rsidP="00CE6267">
      <w:pPr>
        <w:spacing w:after="0"/>
        <w:jc w:val="both"/>
        <w:rPr>
          <w:rFonts w:ascii="Times New Roman" w:hAnsi="Times New Roman" w:cs="Times New Roman"/>
          <w:sz w:val="24"/>
          <w:szCs w:val="24"/>
        </w:rPr>
      </w:pPr>
    </w:p>
    <w:p w14:paraId="13A10C78" w14:textId="1ACFAD61" w:rsidR="00365605" w:rsidRPr="00000176" w:rsidRDefault="00365605"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A trigger</w:t>
      </w:r>
      <w:r w:rsidR="00AC7654" w:rsidRPr="00000176">
        <w:rPr>
          <w:rFonts w:ascii="Times New Roman" w:hAnsi="Times New Roman" w:cs="Times New Roman"/>
          <w:sz w:val="24"/>
          <w:szCs w:val="24"/>
        </w:rPr>
        <w:t xml:space="preserve"> point could </w:t>
      </w:r>
      <w:r w:rsidRPr="00000176">
        <w:rPr>
          <w:rFonts w:ascii="Times New Roman" w:hAnsi="Times New Roman" w:cs="Times New Roman"/>
          <w:sz w:val="24"/>
          <w:szCs w:val="24"/>
        </w:rPr>
        <w:t xml:space="preserve">be </w:t>
      </w:r>
      <w:r w:rsidR="00864223" w:rsidRPr="00000176">
        <w:rPr>
          <w:rFonts w:ascii="Times New Roman" w:hAnsi="Times New Roman" w:cs="Times New Roman"/>
          <w:sz w:val="24"/>
          <w:szCs w:val="24"/>
        </w:rPr>
        <w:t>a</w:t>
      </w:r>
      <w:r w:rsidR="001D58EE" w:rsidRPr="00000176">
        <w:rPr>
          <w:rFonts w:ascii="Times New Roman" w:hAnsi="Times New Roman" w:cs="Times New Roman"/>
          <w:sz w:val="24"/>
          <w:szCs w:val="24"/>
        </w:rPr>
        <w:t>:</w:t>
      </w:r>
    </w:p>
    <w:p w14:paraId="2468138A" w14:textId="7D184488" w:rsidR="00621083" w:rsidRPr="00231B0D" w:rsidRDefault="00621083"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Transaction (e.g. the moment of sale, rental</w:t>
      </w:r>
      <w:r w:rsidR="002C62B2" w:rsidRPr="000A4358">
        <w:rPr>
          <w:rStyle w:val="FootnoteReference"/>
          <w:rFonts w:ascii="Times New Roman" w:hAnsi="Times New Roman" w:cs="Times New Roman"/>
          <w:sz w:val="24"/>
          <w:szCs w:val="24"/>
        </w:rPr>
        <w:footnoteReference w:id="5"/>
      </w:r>
      <w:r w:rsidRPr="000A4358">
        <w:rPr>
          <w:rStyle w:val="FootnoteReference"/>
        </w:rPr>
        <w:t xml:space="preserve"> </w:t>
      </w:r>
      <w:r w:rsidRPr="00231B0D">
        <w:rPr>
          <w:rFonts w:ascii="Times New Roman" w:hAnsi="Times New Roman" w:cs="Times New Roman"/>
          <w:color w:val="000000"/>
          <w:sz w:val="24"/>
          <w:szCs w:val="24"/>
        </w:rPr>
        <w:t xml:space="preserve">or lease of a building); </w:t>
      </w:r>
    </w:p>
    <w:p w14:paraId="47C25499" w14:textId="77777777" w:rsidR="00621083" w:rsidRPr="00231B0D" w:rsidRDefault="005F10DA"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Renovation</w:t>
      </w:r>
      <w:r w:rsidR="00621083" w:rsidRPr="00231B0D">
        <w:rPr>
          <w:rFonts w:ascii="Times New Roman" w:hAnsi="Times New Roman" w:cs="Times New Roman"/>
          <w:color w:val="000000"/>
          <w:sz w:val="24"/>
          <w:szCs w:val="24"/>
        </w:rPr>
        <w:t xml:space="preserve"> (e.g. an already-planned wider non-energy related renovation); </w:t>
      </w:r>
    </w:p>
    <w:p w14:paraId="053445A8" w14:textId="77777777" w:rsidR="00621083" w:rsidRPr="001F47EA" w:rsidRDefault="001D58EE" w:rsidP="00231B0D">
      <w:pPr>
        <w:pStyle w:val="ListParagraph"/>
        <w:numPr>
          <w:ilvl w:val="0"/>
          <w:numId w:val="9"/>
        </w:numPr>
        <w:spacing w:after="0"/>
        <w:jc w:val="both"/>
        <w:rPr>
          <w:rFonts w:ascii="Times New Roman" w:hAnsi="Times New Roman" w:cs="Times New Roman"/>
          <w:sz w:val="24"/>
          <w:szCs w:val="24"/>
        </w:rPr>
      </w:pPr>
      <w:r w:rsidRPr="00231B0D">
        <w:rPr>
          <w:rFonts w:ascii="Times New Roman" w:hAnsi="Times New Roman" w:cs="Times New Roman"/>
          <w:color w:val="000000"/>
          <w:sz w:val="24"/>
          <w:szCs w:val="24"/>
        </w:rPr>
        <w:t>Disaster/</w:t>
      </w:r>
      <w:r w:rsidR="00621083" w:rsidRPr="00231B0D">
        <w:rPr>
          <w:rFonts w:ascii="Times New Roman" w:hAnsi="Times New Roman" w:cs="Times New Roman"/>
          <w:color w:val="000000"/>
          <w:sz w:val="24"/>
          <w:szCs w:val="24"/>
        </w:rPr>
        <w:t>Incident (e.g. fire, earthquake, flood)</w:t>
      </w:r>
      <w:r w:rsidR="00621083" w:rsidRPr="00000176">
        <w:rPr>
          <w:rFonts w:ascii="Times New Roman" w:hAnsi="Times New Roman" w:cs="Times New Roman"/>
          <w:sz w:val="24"/>
          <w:szCs w:val="24"/>
        </w:rPr>
        <w:t>.</w:t>
      </w:r>
      <w:r w:rsidR="00621083" w:rsidRPr="00000176">
        <w:rPr>
          <w:rStyle w:val="FootnoteReference"/>
          <w:rFonts w:ascii="Times New Roman" w:hAnsi="Times New Roman" w:cs="Times New Roman"/>
          <w:sz w:val="24"/>
          <w:szCs w:val="24"/>
        </w:rPr>
        <w:footnoteReference w:id="6"/>
      </w:r>
    </w:p>
    <w:p w14:paraId="00687B29" w14:textId="77777777" w:rsidR="00C5341B" w:rsidRDefault="00C5341B" w:rsidP="00CE6267">
      <w:pPr>
        <w:spacing w:after="0"/>
        <w:jc w:val="both"/>
        <w:rPr>
          <w:rFonts w:ascii="Times New Roman" w:hAnsi="Times New Roman" w:cs="Times New Roman"/>
          <w:sz w:val="24"/>
          <w:szCs w:val="24"/>
        </w:rPr>
      </w:pPr>
    </w:p>
    <w:p w14:paraId="7FF1735A" w14:textId="1057C97F" w:rsidR="00A34349" w:rsidRDefault="00A34349" w:rsidP="00CE6267">
      <w:pPr>
        <w:spacing w:after="0"/>
        <w:jc w:val="both"/>
        <w:rPr>
          <w:rFonts w:ascii="Times New Roman" w:hAnsi="Times New Roman" w:cs="Times New Roman"/>
          <w:sz w:val="24"/>
          <w:szCs w:val="24"/>
        </w:rPr>
      </w:pPr>
      <w:r>
        <w:rPr>
          <w:rFonts w:ascii="Times New Roman" w:hAnsi="Times New Roman" w:cs="Times New Roman"/>
          <w:sz w:val="24"/>
          <w:szCs w:val="24"/>
        </w:rPr>
        <w:t xml:space="preserve">Certain buildings may not be subject to trigger points and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the provision includes the qualification “where applicable.”</w:t>
      </w:r>
    </w:p>
    <w:p w14:paraId="43498366" w14:textId="77777777" w:rsidR="00C5341B" w:rsidRDefault="00C5341B" w:rsidP="00CE6267">
      <w:pPr>
        <w:spacing w:after="0"/>
        <w:jc w:val="both"/>
        <w:rPr>
          <w:rFonts w:ascii="Times New Roman" w:hAnsi="Times New Roman" w:cs="Times New Roman"/>
          <w:sz w:val="24"/>
          <w:szCs w:val="24"/>
        </w:rPr>
      </w:pPr>
    </w:p>
    <w:p w14:paraId="4160E9DD" w14:textId="658945DD" w:rsidR="00E205C2" w:rsidRPr="00000176" w:rsidRDefault="00E205C2"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Linking </w:t>
      </w:r>
      <w:r w:rsidR="00621083" w:rsidRPr="00000176">
        <w:rPr>
          <w:rFonts w:ascii="Times New Roman" w:hAnsi="Times New Roman" w:cs="Times New Roman"/>
          <w:sz w:val="24"/>
          <w:szCs w:val="24"/>
        </w:rPr>
        <w:t xml:space="preserve">energy-efficiency </w:t>
      </w:r>
      <w:r w:rsidRPr="00000176">
        <w:rPr>
          <w:rFonts w:ascii="Times New Roman" w:hAnsi="Times New Roman" w:cs="Times New Roman"/>
          <w:sz w:val="24"/>
          <w:szCs w:val="24"/>
        </w:rPr>
        <w:t xml:space="preserve">renovation with </w:t>
      </w:r>
      <w:r w:rsidR="00621083" w:rsidRPr="00000176">
        <w:rPr>
          <w:rFonts w:ascii="Times New Roman" w:hAnsi="Times New Roman" w:cs="Times New Roman"/>
          <w:sz w:val="24"/>
          <w:szCs w:val="24"/>
        </w:rPr>
        <w:t>trigger points</w:t>
      </w:r>
      <w:r w:rsidRPr="00000176">
        <w:rPr>
          <w:rFonts w:ascii="Times New Roman" w:hAnsi="Times New Roman" w:cs="Times New Roman"/>
          <w:sz w:val="24"/>
          <w:szCs w:val="24"/>
        </w:rPr>
        <w:t xml:space="preserve"> would </w:t>
      </w:r>
      <w:r w:rsidR="00621083" w:rsidRPr="00000176">
        <w:rPr>
          <w:rFonts w:ascii="Times New Roman" w:hAnsi="Times New Roman" w:cs="Times New Roman"/>
          <w:sz w:val="24"/>
          <w:szCs w:val="24"/>
        </w:rPr>
        <w:t>ensure</w:t>
      </w:r>
      <w:r w:rsidRPr="00000176">
        <w:rPr>
          <w:rFonts w:ascii="Times New Roman" w:hAnsi="Times New Roman" w:cs="Times New Roman"/>
          <w:sz w:val="24"/>
          <w:szCs w:val="24"/>
        </w:rPr>
        <w:t xml:space="preserve"> that energy</w:t>
      </w:r>
      <w:r w:rsidR="00853971" w:rsidRPr="00000176">
        <w:rPr>
          <w:rFonts w:ascii="Times New Roman" w:hAnsi="Times New Roman" w:cs="Times New Roman"/>
          <w:sz w:val="24"/>
          <w:szCs w:val="24"/>
        </w:rPr>
        <w:t>-</w:t>
      </w:r>
      <w:r w:rsidRPr="00000176">
        <w:rPr>
          <w:rFonts w:ascii="Times New Roman" w:hAnsi="Times New Roman" w:cs="Times New Roman"/>
          <w:sz w:val="24"/>
          <w:szCs w:val="24"/>
        </w:rPr>
        <w:t xml:space="preserve">related measures are not neglected or </w:t>
      </w:r>
      <w:r w:rsidR="00621083" w:rsidRPr="00000176">
        <w:rPr>
          <w:rFonts w:ascii="Times New Roman" w:hAnsi="Times New Roman" w:cs="Times New Roman"/>
          <w:sz w:val="24"/>
          <w:szCs w:val="24"/>
        </w:rPr>
        <w:t>omitted</w:t>
      </w:r>
      <w:r w:rsidRPr="00000176">
        <w:rPr>
          <w:rFonts w:ascii="Times New Roman" w:hAnsi="Times New Roman" w:cs="Times New Roman"/>
          <w:sz w:val="24"/>
          <w:szCs w:val="24"/>
        </w:rPr>
        <w:t xml:space="preserve"> at a later stage</w:t>
      </w:r>
      <w:r w:rsidR="00E85F81">
        <w:rPr>
          <w:rFonts w:ascii="Times New Roman" w:hAnsi="Times New Roman" w:cs="Times New Roman"/>
          <w:sz w:val="24"/>
          <w:szCs w:val="24"/>
        </w:rPr>
        <w:t xml:space="preserve"> in the life-cycle of the building. </w:t>
      </w:r>
      <w:r w:rsidR="00ED0BA7">
        <w:rPr>
          <w:rFonts w:ascii="Times New Roman" w:hAnsi="Times New Roman" w:cs="Times New Roman"/>
          <w:sz w:val="24"/>
          <w:szCs w:val="24"/>
        </w:rPr>
        <w:t>By focusing on energy efficiency when t</w:t>
      </w:r>
      <w:r w:rsidR="00E85F81">
        <w:rPr>
          <w:rFonts w:ascii="Times New Roman" w:hAnsi="Times New Roman" w:cs="Times New Roman"/>
          <w:sz w:val="24"/>
          <w:szCs w:val="24"/>
        </w:rPr>
        <w:t>rigger points</w:t>
      </w:r>
      <w:r w:rsidR="00ED0BA7">
        <w:rPr>
          <w:rFonts w:ascii="Times New Roman" w:hAnsi="Times New Roman" w:cs="Times New Roman"/>
          <w:sz w:val="24"/>
          <w:szCs w:val="24"/>
        </w:rPr>
        <w:t xml:space="preserve"> are reached, </w:t>
      </w:r>
      <w:r w:rsidRPr="00000176">
        <w:rPr>
          <w:rFonts w:ascii="Times New Roman" w:hAnsi="Times New Roman" w:cs="Times New Roman"/>
          <w:sz w:val="24"/>
          <w:szCs w:val="24"/>
        </w:rPr>
        <w:t xml:space="preserve">the risk </w:t>
      </w:r>
      <w:r w:rsidR="00ED0BA7">
        <w:rPr>
          <w:rFonts w:ascii="Times New Roman" w:hAnsi="Times New Roman" w:cs="Times New Roman"/>
          <w:sz w:val="24"/>
          <w:szCs w:val="24"/>
        </w:rPr>
        <w:t xml:space="preserve">of losing the </w:t>
      </w:r>
      <w:r w:rsidR="000F3B58" w:rsidRPr="00000176">
        <w:rPr>
          <w:rFonts w:ascii="Times New Roman" w:hAnsi="Times New Roman" w:cs="Times New Roman"/>
          <w:sz w:val="24"/>
          <w:szCs w:val="24"/>
        </w:rPr>
        <w:t xml:space="preserve">opportunity </w:t>
      </w:r>
      <w:r w:rsidR="00ED0BA7">
        <w:rPr>
          <w:rFonts w:ascii="Times New Roman" w:hAnsi="Times New Roman" w:cs="Times New Roman"/>
          <w:sz w:val="24"/>
          <w:szCs w:val="24"/>
        </w:rPr>
        <w:t>to renovate in the future can be avoided</w:t>
      </w:r>
      <w:r w:rsidR="00B122D9">
        <w:rPr>
          <w:rFonts w:ascii="Times New Roman" w:hAnsi="Times New Roman" w:cs="Times New Roman"/>
          <w:sz w:val="24"/>
          <w:szCs w:val="24"/>
        </w:rPr>
        <w:t xml:space="preserve"> </w:t>
      </w:r>
      <w:r w:rsidR="005A2EDF">
        <w:rPr>
          <w:rFonts w:ascii="Times New Roman" w:hAnsi="Times New Roman" w:cs="Times New Roman"/>
          <w:sz w:val="24"/>
          <w:szCs w:val="24"/>
        </w:rPr>
        <w:t xml:space="preserve">and </w:t>
      </w:r>
      <w:r w:rsidR="00B122D9">
        <w:rPr>
          <w:rFonts w:ascii="Times New Roman" w:hAnsi="Times New Roman" w:cs="Times New Roman"/>
          <w:sz w:val="24"/>
          <w:szCs w:val="24"/>
        </w:rPr>
        <w:t>possible synergies with other actions best exploited</w:t>
      </w:r>
      <w:r w:rsidR="006D2780">
        <w:rPr>
          <w:rFonts w:ascii="Times New Roman" w:hAnsi="Times New Roman" w:cs="Times New Roman"/>
          <w:sz w:val="24"/>
          <w:szCs w:val="24"/>
        </w:rPr>
        <w:t>.</w:t>
      </w:r>
    </w:p>
    <w:p w14:paraId="7642C009" w14:textId="77777777" w:rsidR="00C5341B" w:rsidRDefault="00C5341B" w:rsidP="00CE6267">
      <w:pPr>
        <w:spacing w:after="0"/>
        <w:jc w:val="both"/>
        <w:rPr>
          <w:rFonts w:ascii="Times New Roman" w:hAnsi="Times New Roman" w:cs="Times New Roman"/>
          <w:sz w:val="24"/>
          <w:szCs w:val="24"/>
        </w:rPr>
      </w:pPr>
    </w:p>
    <w:p w14:paraId="3DF8A717" w14:textId="77777777" w:rsidR="00823166" w:rsidRPr="00000176" w:rsidRDefault="0055609D"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w:t>
      </w:r>
      <w:r w:rsidR="008855B1" w:rsidRPr="00000176">
        <w:rPr>
          <w:rFonts w:ascii="Times New Roman" w:hAnsi="Times New Roman" w:cs="Times New Roman"/>
          <w:sz w:val="24"/>
          <w:szCs w:val="24"/>
        </w:rPr>
        <w:t>rigger point</w:t>
      </w:r>
      <w:r w:rsidR="00A26608" w:rsidRPr="00000176">
        <w:rPr>
          <w:rFonts w:ascii="Times New Roman" w:hAnsi="Times New Roman" w:cs="Times New Roman"/>
          <w:sz w:val="24"/>
          <w:szCs w:val="24"/>
        </w:rPr>
        <w:t>s</w:t>
      </w:r>
      <w:r w:rsidR="008855B1" w:rsidRPr="00000176">
        <w:rPr>
          <w:rFonts w:ascii="Times New Roman" w:hAnsi="Times New Roman" w:cs="Times New Roman"/>
          <w:sz w:val="24"/>
          <w:szCs w:val="24"/>
        </w:rPr>
        <w:t xml:space="preserve"> </w:t>
      </w:r>
      <w:r w:rsidRPr="00000176">
        <w:rPr>
          <w:rFonts w:ascii="Times New Roman" w:hAnsi="Times New Roman" w:cs="Times New Roman"/>
          <w:sz w:val="24"/>
          <w:szCs w:val="24"/>
        </w:rPr>
        <w:t xml:space="preserve">may </w:t>
      </w:r>
      <w:proofErr w:type="gramStart"/>
      <w:r w:rsidRPr="00000176">
        <w:rPr>
          <w:rFonts w:ascii="Times New Roman" w:hAnsi="Times New Roman" w:cs="Times New Roman"/>
          <w:sz w:val="24"/>
          <w:szCs w:val="24"/>
        </w:rPr>
        <w:t>in particular lead</w:t>
      </w:r>
      <w:proofErr w:type="gramEnd"/>
      <w:r w:rsidRPr="00000176">
        <w:rPr>
          <w:rFonts w:ascii="Times New Roman" w:hAnsi="Times New Roman" w:cs="Times New Roman"/>
          <w:sz w:val="24"/>
          <w:szCs w:val="24"/>
        </w:rPr>
        <w:t xml:space="preserve"> to cost-effective renovation due to</w:t>
      </w:r>
      <w:r w:rsidR="008855B1" w:rsidRPr="00000176">
        <w:rPr>
          <w:rFonts w:ascii="Times New Roman" w:hAnsi="Times New Roman" w:cs="Times New Roman"/>
          <w:sz w:val="24"/>
          <w:szCs w:val="24"/>
        </w:rPr>
        <w:t xml:space="preserve"> economies of scale </w:t>
      </w:r>
      <w:r w:rsidRPr="00000176">
        <w:rPr>
          <w:rFonts w:ascii="Times New Roman" w:hAnsi="Times New Roman" w:cs="Times New Roman"/>
          <w:sz w:val="24"/>
          <w:szCs w:val="24"/>
        </w:rPr>
        <w:t xml:space="preserve">which </w:t>
      </w:r>
      <w:r w:rsidR="008855B1" w:rsidRPr="00000176">
        <w:rPr>
          <w:rFonts w:ascii="Times New Roman" w:hAnsi="Times New Roman" w:cs="Times New Roman"/>
          <w:sz w:val="24"/>
          <w:szCs w:val="24"/>
        </w:rPr>
        <w:t>can be achieved in carrying out energy-related renovation measures simultaneously with other</w:t>
      </w:r>
      <w:r w:rsidRPr="00000176">
        <w:rPr>
          <w:rFonts w:ascii="Times New Roman" w:hAnsi="Times New Roman" w:cs="Times New Roman"/>
          <w:sz w:val="24"/>
          <w:szCs w:val="24"/>
        </w:rPr>
        <w:t xml:space="preserve"> necessary works or already-planned</w:t>
      </w:r>
      <w:r w:rsidR="008855B1" w:rsidRPr="00000176">
        <w:rPr>
          <w:rFonts w:ascii="Times New Roman" w:hAnsi="Times New Roman" w:cs="Times New Roman"/>
          <w:sz w:val="24"/>
          <w:szCs w:val="24"/>
        </w:rPr>
        <w:t xml:space="preserve"> renovations. </w:t>
      </w:r>
    </w:p>
    <w:p w14:paraId="79CE1BA4" w14:textId="77777777" w:rsidR="00C5341B" w:rsidRDefault="00C5341B" w:rsidP="00C5341B">
      <w:pPr>
        <w:pStyle w:val="Heading3"/>
        <w:numPr>
          <w:ilvl w:val="0"/>
          <w:numId w:val="0"/>
        </w:numPr>
        <w:spacing w:before="0" w:after="0" w:line="276" w:lineRule="auto"/>
        <w:ind w:left="851"/>
        <w:rPr>
          <w:szCs w:val="24"/>
        </w:rPr>
      </w:pPr>
      <w:bookmarkStart w:id="12" w:name="_Toc523324049"/>
      <w:bookmarkStart w:id="13" w:name="_Toc523437040"/>
      <w:bookmarkStart w:id="14" w:name="_Toc523745731"/>
      <w:bookmarkStart w:id="15" w:name="_Toc523324050"/>
      <w:bookmarkStart w:id="16" w:name="_Toc523437041"/>
      <w:bookmarkStart w:id="17" w:name="_Toc523745732"/>
      <w:bookmarkEnd w:id="12"/>
      <w:bookmarkEnd w:id="13"/>
      <w:bookmarkEnd w:id="14"/>
      <w:bookmarkEnd w:id="15"/>
      <w:bookmarkEnd w:id="16"/>
      <w:bookmarkEnd w:id="17"/>
    </w:p>
    <w:p w14:paraId="56F6C7CD" w14:textId="77777777" w:rsidR="00465BEE" w:rsidRPr="00000176" w:rsidRDefault="009A4DC0" w:rsidP="00CE6267">
      <w:pPr>
        <w:pStyle w:val="Heading3"/>
        <w:spacing w:before="0" w:after="0" w:line="276" w:lineRule="auto"/>
        <w:rPr>
          <w:szCs w:val="24"/>
        </w:rPr>
      </w:pPr>
      <w:bookmarkStart w:id="18" w:name="_Toc524340587"/>
      <w:r w:rsidRPr="00000176">
        <w:rPr>
          <w:szCs w:val="24"/>
        </w:rPr>
        <w:t>Policies and actions towards d</w:t>
      </w:r>
      <w:r w:rsidR="00465BEE" w:rsidRPr="00000176">
        <w:rPr>
          <w:szCs w:val="24"/>
        </w:rPr>
        <w:t xml:space="preserve">eep </w:t>
      </w:r>
      <w:proofErr w:type="gramStart"/>
      <w:r w:rsidR="00465BEE" w:rsidRPr="00000176">
        <w:rPr>
          <w:szCs w:val="24"/>
        </w:rPr>
        <w:t>renovation</w:t>
      </w:r>
      <w:r w:rsidR="007F36E9" w:rsidRPr="00000176">
        <w:rPr>
          <w:szCs w:val="24"/>
        </w:rPr>
        <w:t xml:space="preserve">  (</w:t>
      </w:r>
      <w:proofErr w:type="gramEnd"/>
      <w:r w:rsidR="007F36E9" w:rsidRPr="00000176">
        <w:rPr>
          <w:szCs w:val="24"/>
        </w:rPr>
        <w:t>Article 2a(1)(c)</w:t>
      </w:r>
      <w:r w:rsidR="00B47FDF" w:rsidRPr="00000176">
        <w:rPr>
          <w:szCs w:val="24"/>
        </w:rPr>
        <w:t>)</w:t>
      </w:r>
      <w:bookmarkEnd w:id="18"/>
    </w:p>
    <w:p w14:paraId="545BF8A9" w14:textId="67BF768F" w:rsidR="00153ECC" w:rsidRPr="00000176" w:rsidRDefault="00153ECC"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Article 4(c) of the EED already provided that LTRS </w:t>
      </w:r>
      <w:r w:rsidR="00365060" w:rsidRPr="00000176">
        <w:rPr>
          <w:rFonts w:ascii="Times New Roman" w:hAnsi="Times New Roman" w:cs="Times New Roman"/>
          <w:sz w:val="24"/>
          <w:szCs w:val="24"/>
        </w:rPr>
        <w:t xml:space="preserve">must </w:t>
      </w:r>
      <w:r w:rsidR="00792453" w:rsidRPr="00000176">
        <w:rPr>
          <w:rFonts w:ascii="Times New Roman" w:hAnsi="Times New Roman" w:cs="Times New Roman"/>
          <w:sz w:val="24"/>
          <w:szCs w:val="24"/>
        </w:rPr>
        <w:t>encompass</w:t>
      </w:r>
      <w:r w:rsidRPr="00000176">
        <w:rPr>
          <w:rFonts w:ascii="Times New Roman" w:hAnsi="Times New Roman" w:cs="Times New Roman"/>
          <w:sz w:val="24"/>
          <w:szCs w:val="24"/>
        </w:rPr>
        <w:t xml:space="preserve"> policies and actions to stimulate cost-effective deep renovation of buildings, including staged deep renovation.</w:t>
      </w:r>
      <w:r w:rsidR="00B935DC" w:rsidRPr="00EE7321">
        <w:rPr>
          <w:rFonts w:ascii="Times New Roman" w:hAnsi="Times New Roman" w:cs="Times New Roman"/>
          <w:sz w:val="24"/>
          <w:szCs w:val="24"/>
        </w:rPr>
        <w:t xml:space="preserve"> </w:t>
      </w:r>
    </w:p>
    <w:p w14:paraId="46B3A2E9" w14:textId="77777777" w:rsidR="005A2EDF" w:rsidRDefault="005A2EDF" w:rsidP="00CE6267">
      <w:pPr>
        <w:spacing w:after="0"/>
        <w:rPr>
          <w:rFonts w:ascii="Times New Roman" w:hAnsi="Times New Roman" w:cs="Times New Roman"/>
          <w:sz w:val="24"/>
          <w:szCs w:val="24"/>
        </w:rPr>
      </w:pPr>
    </w:p>
    <w:p w14:paraId="675F4887" w14:textId="60340513" w:rsidR="00153ECC" w:rsidRDefault="00153ECC" w:rsidP="00CE6267">
      <w:pPr>
        <w:spacing w:after="0"/>
        <w:rPr>
          <w:rFonts w:ascii="Times New Roman" w:hAnsi="Times New Roman" w:cs="Times New Roman"/>
          <w:sz w:val="24"/>
          <w:szCs w:val="24"/>
        </w:rPr>
      </w:pPr>
      <w:r w:rsidRPr="00000176">
        <w:rPr>
          <w:rFonts w:ascii="Times New Roman" w:hAnsi="Times New Roman" w:cs="Times New Roman"/>
          <w:sz w:val="24"/>
          <w:szCs w:val="24"/>
        </w:rPr>
        <w:t xml:space="preserve">Article 2a(1)(c) of the revised EPBD provides </w:t>
      </w:r>
      <w:r w:rsidR="0024701C" w:rsidRPr="00000176">
        <w:rPr>
          <w:rFonts w:ascii="Times New Roman" w:hAnsi="Times New Roman" w:cs="Times New Roman"/>
          <w:sz w:val="24"/>
          <w:szCs w:val="24"/>
        </w:rPr>
        <w:t xml:space="preserve">that LTRS </w:t>
      </w:r>
      <w:r w:rsidR="00677F9B" w:rsidRPr="00000176">
        <w:rPr>
          <w:rFonts w:ascii="Times New Roman" w:hAnsi="Times New Roman" w:cs="Times New Roman"/>
          <w:sz w:val="24"/>
          <w:szCs w:val="24"/>
        </w:rPr>
        <w:t xml:space="preserve">must </w:t>
      </w:r>
      <w:r w:rsidR="0024701C" w:rsidRPr="00000176">
        <w:rPr>
          <w:rFonts w:ascii="Times New Roman" w:hAnsi="Times New Roman" w:cs="Times New Roman"/>
          <w:sz w:val="24"/>
          <w:szCs w:val="24"/>
        </w:rPr>
        <w:t>encompass:</w:t>
      </w:r>
    </w:p>
    <w:p w14:paraId="2A479447" w14:textId="77777777" w:rsidR="007C6FF7" w:rsidRPr="00000176" w:rsidRDefault="007C6FF7" w:rsidP="00CE6267">
      <w:pPr>
        <w:spacing w:after="0"/>
        <w:rPr>
          <w:rFonts w:ascii="Times New Roman" w:hAnsi="Times New Roman" w:cs="Times New Roman"/>
          <w:sz w:val="24"/>
          <w:szCs w:val="24"/>
        </w:rPr>
      </w:pPr>
    </w:p>
    <w:p w14:paraId="4D6E5AC7" w14:textId="77777777" w:rsidR="00153ECC" w:rsidRDefault="00153ECC" w:rsidP="00CE6267">
      <w:pPr>
        <w:pStyle w:val="ListParagraph"/>
        <w:spacing w:after="0"/>
        <w:jc w:val="both"/>
        <w:rPr>
          <w:rFonts w:ascii="Times New Roman" w:hAnsi="Times New Roman" w:cs="Times New Roman"/>
          <w:b/>
          <w:i/>
          <w:sz w:val="24"/>
          <w:szCs w:val="24"/>
        </w:rPr>
      </w:pPr>
      <w:r w:rsidRPr="00000176">
        <w:rPr>
          <w:rFonts w:ascii="Times New Roman" w:hAnsi="Times New Roman" w:cs="Times New Roman"/>
          <w:sz w:val="24"/>
          <w:szCs w:val="24"/>
        </w:rPr>
        <w:t>policies and actions to stimulate cost-effective deep renovation of buildings, including staged deep renovation,</w:t>
      </w:r>
      <w:r w:rsidRPr="00000176">
        <w:rPr>
          <w:rFonts w:ascii="Times New Roman" w:hAnsi="Times New Roman" w:cs="Times New Roman"/>
          <w:b/>
          <w:sz w:val="24"/>
          <w:szCs w:val="24"/>
        </w:rPr>
        <w:t xml:space="preserve"> </w:t>
      </w:r>
      <w:r w:rsidRPr="00000176">
        <w:rPr>
          <w:rFonts w:ascii="Times New Roman" w:hAnsi="Times New Roman" w:cs="Times New Roman"/>
          <w:b/>
          <w:i/>
          <w:sz w:val="24"/>
          <w:szCs w:val="24"/>
        </w:rPr>
        <w:t xml:space="preserve">and to support targeted cost-effective measures and </w:t>
      </w:r>
      <w:r w:rsidRPr="00000176">
        <w:rPr>
          <w:rFonts w:ascii="Times New Roman" w:hAnsi="Times New Roman" w:cs="Times New Roman"/>
          <w:b/>
          <w:i/>
          <w:sz w:val="24"/>
          <w:szCs w:val="24"/>
        </w:rPr>
        <w:lastRenderedPageBreak/>
        <w:t xml:space="preserve">renovation for example by introducing an optional scheme for building renovation passports; </w:t>
      </w:r>
    </w:p>
    <w:p w14:paraId="17102B28" w14:textId="77777777" w:rsidR="007C6FF7" w:rsidRPr="00000176" w:rsidRDefault="007C6FF7" w:rsidP="00CE6267">
      <w:pPr>
        <w:pStyle w:val="ListParagraph"/>
        <w:spacing w:after="0"/>
        <w:jc w:val="both"/>
        <w:rPr>
          <w:rFonts w:ascii="Times New Roman" w:hAnsi="Times New Roman" w:cs="Times New Roman"/>
          <w:b/>
          <w:sz w:val="24"/>
          <w:szCs w:val="24"/>
        </w:rPr>
      </w:pPr>
    </w:p>
    <w:p w14:paraId="1D9D682D" w14:textId="6EB945E4" w:rsidR="00B14650" w:rsidRDefault="005F10DA" w:rsidP="00CE6267">
      <w:pPr>
        <w:spacing w:after="0"/>
        <w:jc w:val="both"/>
        <w:rPr>
          <w:rFonts w:ascii="Times New Roman" w:hAnsi="Times New Roman" w:cs="Times New Roman"/>
          <w:sz w:val="24"/>
          <w:szCs w:val="24"/>
        </w:rPr>
      </w:pPr>
      <w:r w:rsidRPr="00000176">
        <w:rPr>
          <w:rFonts w:ascii="Times New Roman" w:hAnsi="Times New Roman" w:cs="Times New Roman"/>
          <w:b/>
          <w:sz w:val="24"/>
          <w:szCs w:val="24"/>
        </w:rPr>
        <w:t>D</w:t>
      </w:r>
      <w:r w:rsidR="00B14650" w:rsidRPr="00000176">
        <w:rPr>
          <w:rFonts w:ascii="Times New Roman" w:hAnsi="Times New Roman" w:cs="Times New Roman"/>
          <w:b/>
          <w:sz w:val="24"/>
          <w:szCs w:val="24"/>
        </w:rPr>
        <w:t xml:space="preserve">eep renovations </w:t>
      </w:r>
      <w:r w:rsidR="00B14650" w:rsidRPr="00000176">
        <w:rPr>
          <w:rFonts w:ascii="Times New Roman" w:hAnsi="Times New Roman" w:cs="Times New Roman"/>
          <w:sz w:val="24"/>
          <w:szCs w:val="24"/>
        </w:rPr>
        <w:t>are those which lead to a refurbishment that reduces both the delivered and final energy consumption of a building by a significant percentage compared with the pre-renovation levels leading to a very high energy performance.</w:t>
      </w:r>
      <w:r w:rsidRPr="00000176">
        <w:rPr>
          <w:rStyle w:val="FootnoteReference"/>
          <w:rFonts w:ascii="Times New Roman" w:hAnsi="Times New Roman" w:cs="Times New Roman"/>
          <w:sz w:val="24"/>
          <w:szCs w:val="24"/>
        </w:rPr>
        <w:footnoteReference w:id="7"/>
      </w:r>
      <w:r w:rsidR="00B14650" w:rsidRPr="00000176">
        <w:rPr>
          <w:rFonts w:ascii="Times New Roman" w:hAnsi="Times New Roman" w:cs="Times New Roman"/>
          <w:sz w:val="24"/>
          <w:szCs w:val="24"/>
        </w:rPr>
        <w:t xml:space="preserve"> </w:t>
      </w:r>
      <w:r w:rsidR="00666B01" w:rsidRPr="00000176">
        <w:rPr>
          <w:rFonts w:ascii="Times New Roman" w:hAnsi="Times New Roman" w:cs="Times New Roman"/>
          <w:sz w:val="24"/>
          <w:szCs w:val="24"/>
        </w:rPr>
        <w:t>According to</w:t>
      </w:r>
      <w:r w:rsidR="00157B52" w:rsidRPr="00000176">
        <w:rPr>
          <w:rFonts w:ascii="Times New Roman" w:hAnsi="Times New Roman" w:cs="Times New Roman"/>
          <w:sz w:val="24"/>
          <w:szCs w:val="24"/>
        </w:rPr>
        <w:t xml:space="preserve"> the Commission</w:t>
      </w:r>
      <w:r w:rsidR="00666B01" w:rsidRPr="00000176">
        <w:rPr>
          <w:rFonts w:ascii="Times New Roman" w:hAnsi="Times New Roman" w:cs="Times New Roman"/>
          <w:sz w:val="24"/>
          <w:szCs w:val="24"/>
        </w:rPr>
        <w:t xml:space="preserve"> Staff W</w:t>
      </w:r>
      <w:r w:rsidR="00B14650" w:rsidRPr="00000176">
        <w:rPr>
          <w:rFonts w:ascii="Times New Roman" w:hAnsi="Times New Roman" w:cs="Times New Roman"/>
          <w:sz w:val="24"/>
          <w:szCs w:val="24"/>
        </w:rPr>
        <w:t xml:space="preserve">orking </w:t>
      </w:r>
      <w:r w:rsidR="00666B01" w:rsidRPr="00000176">
        <w:rPr>
          <w:rFonts w:ascii="Times New Roman" w:hAnsi="Times New Roman" w:cs="Times New Roman"/>
          <w:sz w:val="24"/>
          <w:szCs w:val="24"/>
        </w:rPr>
        <w:t>D</w:t>
      </w:r>
      <w:r w:rsidR="00B14650" w:rsidRPr="00000176">
        <w:rPr>
          <w:rFonts w:ascii="Times New Roman" w:hAnsi="Times New Roman" w:cs="Times New Roman"/>
          <w:sz w:val="24"/>
          <w:szCs w:val="24"/>
        </w:rPr>
        <w:t xml:space="preserve">ocument accompanying </w:t>
      </w:r>
      <w:r w:rsidR="00157B52" w:rsidRPr="00000176">
        <w:rPr>
          <w:rFonts w:ascii="Times New Roman" w:hAnsi="Times New Roman" w:cs="Times New Roman"/>
          <w:sz w:val="24"/>
          <w:szCs w:val="24"/>
        </w:rPr>
        <w:t>the 2013 Commission report on financial support for energy efficiency in buildings</w:t>
      </w:r>
      <w:r w:rsidR="00260B7A" w:rsidRPr="00EE7321">
        <w:rPr>
          <w:rFonts w:ascii="Times New Roman" w:hAnsi="Times New Roman" w:cs="Times New Roman"/>
          <w:sz w:val="24"/>
          <w:szCs w:val="24"/>
          <w:vertAlign w:val="superscript"/>
        </w:rPr>
        <w:footnoteReference w:id="8"/>
      </w:r>
      <w:r w:rsidR="00B14650" w:rsidRPr="00000176">
        <w:rPr>
          <w:rFonts w:ascii="Times New Roman" w:hAnsi="Times New Roman" w:cs="Times New Roman"/>
          <w:sz w:val="24"/>
          <w:szCs w:val="24"/>
        </w:rPr>
        <w:t xml:space="preserve">, </w:t>
      </w:r>
      <w:r w:rsidR="00AF0543" w:rsidRPr="00000176">
        <w:rPr>
          <w:rFonts w:ascii="Times New Roman" w:hAnsi="Times New Roman" w:cs="Times New Roman"/>
          <w:sz w:val="24"/>
          <w:szCs w:val="24"/>
        </w:rPr>
        <w:t>"</w:t>
      </w:r>
      <w:r w:rsidR="00B14650" w:rsidRPr="00000176">
        <w:rPr>
          <w:rFonts w:ascii="Times New Roman" w:hAnsi="Times New Roman" w:cs="Times New Roman"/>
          <w:sz w:val="24"/>
          <w:szCs w:val="24"/>
        </w:rPr>
        <w:t>deep renovation</w:t>
      </w:r>
      <w:r w:rsidR="00AF0543" w:rsidRPr="00000176">
        <w:rPr>
          <w:rFonts w:ascii="Times New Roman" w:hAnsi="Times New Roman" w:cs="Times New Roman"/>
          <w:sz w:val="24"/>
          <w:szCs w:val="24"/>
        </w:rPr>
        <w:t>"</w:t>
      </w:r>
      <w:r w:rsidR="00B14650" w:rsidRPr="00000176">
        <w:rPr>
          <w:rFonts w:ascii="Times New Roman" w:hAnsi="Times New Roman" w:cs="Times New Roman"/>
          <w:sz w:val="24"/>
          <w:szCs w:val="24"/>
        </w:rPr>
        <w:t xml:space="preserve"> </w:t>
      </w:r>
      <w:r w:rsidR="005A2EDF">
        <w:rPr>
          <w:rFonts w:ascii="Times New Roman" w:hAnsi="Times New Roman" w:cs="Times New Roman"/>
          <w:sz w:val="24"/>
          <w:szCs w:val="24"/>
        </w:rPr>
        <w:t xml:space="preserve">can be considered to </w:t>
      </w:r>
      <w:r w:rsidR="00B14650" w:rsidRPr="00000176">
        <w:rPr>
          <w:rFonts w:ascii="Times New Roman" w:hAnsi="Times New Roman" w:cs="Times New Roman"/>
          <w:sz w:val="24"/>
          <w:szCs w:val="24"/>
        </w:rPr>
        <w:t xml:space="preserve">mean </w:t>
      </w:r>
      <w:r w:rsidR="00157B52" w:rsidRPr="00000176">
        <w:rPr>
          <w:rFonts w:ascii="Times New Roman" w:hAnsi="Times New Roman" w:cs="Times New Roman"/>
          <w:sz w:val="24"/>
          <w:szCs w:val="24"/>
        </w:rPr>
        <w:t xml:space="preserve">a renovation which </w:t>
      </w:r>
      <w:r w:rsidR="0012174F" w:rsidRPr="00000176">
        <w:rPr>
          <w:rFonts w:ascii="Times New Roman" w:hAnsi="Times New Roman" w:cs="Times New Roman"/>
          <w:sz w:val="24"/>
          <w:szCs w:val="24"/>
        </w:rPr>
        <w:t>leads to</w:t>
      </w:r>
      <w:r w:rsidR="00157B52" w:rsidRPr="00000176">
        <w:rPr>
          <w:rFonts w:ascii="Times New Roman" w:hAnsi="Times New Roman" w:cs="Times New Roman"/>
          <w:sz w:val="24"/>
          <w:szCs w:val="24"/>
        </w:rPr>
        <w:t xml:space="preserve"> </w:t>
      </w:r>
      <w:r w:rsidR="00B14650" w:rsidRPr="00000176">
        <w:rPr>
          <w:rFonts w:ascii="Times New Roman" w:hAnsi="Times New Roman" w:cs="Times New Roman"/>
          <w:sz w:val="24"/>
          <w:szCs w:val="24"/>
        </w:rPr>
        <w:t xml:space="preserve">at least 60% </w:t>
      </w:r>
      <w:r w:rsidR="00AF0543" w:rsidRPr="00000176">
        <w:rPr>
          <w:rFonts w:ascii="Times New Roman" w:hAnsi="Times New Roman" w:cs="Times New Roman"/>
          <w:sz w:val="24"/>
          <w:szCs w:val="24"/>
        </w:rPr>
        <w:t xml:space="preserve">primary energy </w:t>
      </w:r>
      <w:r w:rsidR="0012174F" w:rsidRPr="00000176">
        <w:rPr>
          <w:rFonts w:ascii="Times New Roman" w:hAnsi="Times New Roman" w:cs="Times New Roman"/>
          <w:sz w:val="24"/>
          <w:szCs w:val="24"/>
        </w:rPr>
        <w:t>improvements</w:t>
      </w:r>
      <w:r w:rsidR="0007394D" w:rsidRPr="00000176">
        <w:rPr>
          <w:rFonts w:ascii="Times New Roman" w:hAnsi="Times New Roman" w:cs="Times New Roman"/>
          <w:sz w:val="24"/>
          <w:szCs w:val="24"/>
        </w:rPr>
        <w:t>.</w:t>
      </w:r>
    </w:p>
    <w:p w14:paraId="62545C52" w14:textId="77777777" w:rsidR="007C6FF7" w:rsidRPr="00000176" w:rsidRDefault="007C6FF7" w:rsidP="00CE6267">
      <w:pPr>
        <w:spacing w:after="0"/>
        <w:jc w:val="both"/>
        <w:rPr>
          <w:rFonts w:ascii="Times New Roman" w:hAnsi="Times New Roman" w:cs="Times New Roman"/>
          <w:sz w:val="24"/>
          <w:szCs w:val="24"/>
        </w:rPr>
      </w:pPr>
    </w:p>
    <w:p w14:paraId="3AB23EB2" w14:textId="1B645719" w:rsidR="007A4DD0" w:rsidRPr="00000176" w:rsidRDefault="00AF0543" w:rsidP="00CE6267">
      <w:pPr>
        <w:pStyle w:val="Default"/>
        <w:spacing w:line="276" w:lineRule="auto"/>
        <w:jc w:val="both"/>
        <w:rPr>
          <w:rFonts w:ascii="Times New Roman" w:hAnsi="Times New Roman" w:cs="Times New Roman"/>
        </w:rPr>
      </w:pPr>
      <w:r w:rsidRPr="00000176">
        <w:rPr>
          <w:rFonts w:ascii="Times New Roman" w:hAnsi="Times New Roman" w:cs="Times New Roman"/>
        </w:rPr>
        <w:t>T</w:t>
      </w:r>
      <w:r w:rsidR="00E138DB" w:rsidRPr="00000176">
        <w:rPr>
          <w:rFonts w:ascii="Times New Roman" w:hAnsi="Times New Roman" w:cs="Times New Roman"/>
        </w:rPr>
        <w:t xml:space="preserve">he </w:t>
      </w:r>
      <w:r w:rsidR="00D86AFF" w:rsidRPr="00000176">
        <w:rPr>
          <w:rFonts w:ascii="Times New Roman" w:hAnsi="Times New Roman" w:cs="Times New Roman"/>
        </w:rPr>
        <w:t>con</w:t>
      </w:r>
      <w:r w:rsidRPr="00000176">
        <w:rPr>
          <w:rFonts w:ascii="Times New Roman" w:hAnsi="Times New Roman" w:cs="Times New Roman"/>
        </w:rPr>
        <w:t>c</w:t>
      </w:r>
      <w:r w:rsidR="00D86AFF" w:rsidRPr="00000176">
        <w:rPr>
          <w:rFonts w:ascii="Times New Roman" w:hAnsi="Times New Roman" w:cs="Times New Roman"/>
        </w:rPr>
        <w:t xml:space="preserve">ept of </w:t>
      </w:r>
      <w:r w:rsidR="00260B7A" w:rsidRPr="00000176">
        <w:rPr>
          <w:rFonts w:ascii="Times New Roman" w:hAnsi="Times New Roman" w:cs="Times New Roman"/>
        </w:rPr>
        <w:t>"</w:t>
      </w:r>
      <w:r w:rsidR="00D86AFF" w:rsidRPr="00000176">
        <w:rPr>
          <w:rFonts w:ascii="Times New Roman" w:hAnsi="Times New Roman" w:cs="Times New Roman"/>
          <w:b/>
        </w:rPr>
        <w:t>b</w:t>
      </w:r>
      <w:r w:rsidR="005F44F8" w:rsidRPr="00000176">
        <w:rPr>
          <w:rFonts w:ascii="Times New Roman" w:hAnsi="Times New Roman" w:cs="Times New Roman"/>
          <w:b/>
        </w:rPr>
        <w:t>uilding renovation passport</w:t>
      </w:r>
      <w:r w:rsidR="00260B7A" w:rsidRPr="00000176">
        <w:rPr>
          <w:rFonts w:ascii="Times New Roman" w:hAnsi="Times New Roman" w:cs="Times New Roman"/>
        </w:rPr>
        <w:t>"</w:t>
      </w:r>
      <w:r w:rsidRPr="00000176">
        <w:rPr>
          <w:rFonts w:ascii="Times New Roman" w:hAnsi="Times New Roman" w:cs="Times New Roman"/>
        </w:rPr>
        <w:t xml:space="preserve"> is introduced in the revised EPBD</w:t>
      </w:r>
      <w:r w:rsidR="00D86AFF" w:rsidRPr="00000176">
        <w:rPr>
          <w:rFonts w:ascii="Times New Roman" w:hAnsi="Times New Roman" w:cs="Times New Roman"/>
        </w:rPr>
        <w:t xml:space="preserve"> as an example o</w:t>
      </w:r>
      <w:r w:rsidR="005F44F8" w:rsidRPr="00000176">
        <w:rPr>
          <w:rFonts w:ascii="Times New Roman" w:hAnsi="Times New Roman" w:cs="Times New Roman"/>
        </w:rPr>
        <w:t xml:space="preserve">f </w:t>
      </w:r>
      <w:r w:rsidR="004356FA" w:rsidRPr="00000176">
        <w:rPr>
          <w:rFonts w:ascii="Times New Roman" w:hAnsi="Times New Roman" w:cs="Times New Roman"/>
        </w:rPr>
        <w:t xml:space="preserve">a measure </w:t>
      </w:r>
      <w:r w:rsidR="005F44F8" w:rsidRPr="00000176">
        <w:rPr>
          <w:rFonts w:ascii="Times New Roman" w:hAnsi="Times New Roman" w:cs="Times New Roman"/>
        </w:rPr>
        <w:t xml:space="preserve">Member States </w:t>
      </w:r>
      <w:r w:rsidR="00D86AFF" w:rsidRPr="00000176">
        <w:rPr>
          <w:rFonts w:ascii="Times New Roman" w:hAnsi="Times New Roman" w:cs="Times New Roman"/>
        </w:rPr>
        <w:t>c</w:t>
      </w:r>
      <w:r w:rsidRPr="00000176">
        <w:rPr>
          <w:rFonts w:ascii="Times New Roman" w:hAnsi="Times New Roman" w:cs="Times New Roman"/>
        </w:rPr>
        <w:t>an</w:t>
      </w:r>
      <w:r w:rsidR="004356FA" w:rsidRPr="00000176">
        <w:rPr>
          <w:rFonts w:ascii="Times New Roman" w:hAnsi="Times New Roman" w:cs="Times New Roman"/>
        </w:rPr>
        <w:t xml:space="preserve"> </w:t>
      </w:r>
      <w:r w:rsidR="00C868F8" w:rsidRPr="00000176">
        <w:rPr>
          <w:rFonts w:ascii="Times New Roman" w:hAnsi="Times New Roman" w:cs="Times New Roman"/>
        </w:rPr>
        <w:t xml:space="preserve">use to </w:t>
      </w:r>
      <w:r w:rsidR="00D86AFF" w:rsidRPr="00000176">
        <w:rPr>
          <w:rFonts w:ascii="Times New Roman" w:hAnsi="Times New Roman" w:cs="Times New Roman"/>
        </w:rPr>
        <w:t>support targeted cost-effective renovation</w:t>
      </w:r>
      <w:r w:rsidR="00EE7321">
        <w:rPr>
          <w:rFonts w:ascii="Times New Roman" w:hAnsi="Times New Roman" w:cs="Times New Roman"/>
        </w:rPr>
        <w:t xml:space="preserve"> </w:t>
      </w:r>
      <w:r w:rsidR="00D86AFF" w:rsidRPr="00000176">
        <w:rPr>
          <w:rFonts w:ascii="Times New Roman" w:hAnsi="Times New Roman" w:cs="Times New Roman"/>
        </w:rPr>
        <w:t>and staged deep renovation.</w:t>
      </w:r>
      <w:r w:rsidR="00A47BB6" w:rsidRPr="00000176">
        <w:rPr>
          <w:rFonts w:ascii="Times New Roman" w:hAnsi="Times New Roman" w:cs="Times New Roman"/>
        </w:rPr>
        <w:t xml:space="preserve"> </w:t>
      </w:r>
      <w:r w:rsidR="00C52FEE" w:rsidRPr="00000176">
        <w:rPr>
          <w:rFonts w:ascii="Times New Roman" w:hAnsi="Times New Roman" w:cs="Times New Roman"/>
        </w:rPr>
        <w:t>"</w:t>
      </w:r>
      <w:r w:rsidR="000A27CE" w:rsidRPr="00000176">
        <w:rPr>
          <w:rFonts w:ascii="Times New Roman" w:hAnsi="Times New Roman" w:cs="Times New Roman"/>
        </w:rPr>
        <w:t>B</w:t>
      </w:r>
      <w:r w:rsidR="00A47BB6" w:rsidRPr="00000176">
        <w:rPr>
          <w:rFonts w:ascii="Times New Roman" w:hAnsi="Times New Roman" w:cs="Times New Roman"/>
        </w:rPr>
        <w:t>uilding renovation passport</w:t>
      </w:r>
      <w:r w:rsidR="00C52FEE" w:rsidRPr="00000176">
        <w:rPr>
          <w:rFonts w:ascii="Times New Roman" w:hAnsi="Times New Roman" w:cs="Times New Roman"/>
        </w:rPr>
        <w:t>"</w:t>
      </w:r>
      <w:r w:rsidR="00A47BB6" w:rsidRPr="00000176">
        <w:rPr>
          <w:rFonts w:ascii="Times New Roman" w:hAnsi="Times New Roman" w:cs="Times New Roman"/>
        </w:rPr>
        <w:t xml:space="preserve"> is not defined</w:t>
      </w:r>
      <w:r w:rsidR="004356FA" w:rsidRPr="00000176">
        <w:rPr>
          <w:rFonts w:ascii="Times New Roman" w:hAnsi="Times New Roman" w:cs="Times New Roman"/>
        </w:rPr>
        <w:t xml:space="preserve"> in the EPBD.</w:t>
      </w:r>
      <w:r w:rsidR="00B42586" w:rsidRPr="00000176">
        <w:rPr>
          <w:rFonts w:ascii="Times New Roman" w:hAnsi="Times New Roman" w:cs="Times New Roman"/>
        </w:rPr>
        <w:t xml:space="preserve"> A certain number of common elements have been identified as constituting a building renovation passport (BRP)</w:t>
      </w:r>
      <w:r w:rsidR="00013A40" w:rsidRPr="00000176">
        <w:rPr>
          <w:rStyle w:val="FootnoteReference"/>
          <w:rFonts w:ascii="Times New Roman" w:hAnsi="Times New Roman" w:cs="Times New Roman"/>
        </w:rPr>
        <w:footnoteReference w:id="9"/>
      </w:r>
      <w:r w:rsidR="00CF0E96" w:rsidRPr="00000176">
        <w:rPr>
          <w:rFonts w:ascii="Times New Roman" w:hAnsi="Times New Roman" w:cs="Times New Roman"/>
        </w:rPr>
        <w:t xml:space="preserve">: </w:t>
      </w:r>
      <w:r w:rsidR="00A47BB6" w:rsidRPr="00000176">
        <w:rPr>
          <w:rFonts w:ascii="Times New Roman" w:hAnsi="Times New Roman" w:cs="Times New Roman"/>
        </w:rPr>
        <w:t xml:space="preserve">a document - in electronic or paper format </w:t>
      </w:r>
      <w:r w:rsidR="00E67B33">
        <w:rPr>
          <w:rFonts w:ascii="Times New Roman" w:hAnsi="Times New Roman" w:cs="Times New Roman"/>
        </w:rPr>
        <w:t>–</w:t>
      </w:r>
      <w:r w:rsidR="00A47BB6" w:rsidRPr="00000176">
        <w:rPr>
          <w:rFonts w:ascii="Times New Roman" w:hAnsi="Times New Roman" w:cs="Times New Roman"/>
        </w:rPr>
        <w:t xml:space="preserve"> outlining</w:t>
      </w:r>
      <w:r w:rsidR="00E67B33">
        <w:rPr>
          <w:rFonts w:ascii="Times New Roman" w:hAnsi="Times New Roman" w:cs="Times New Roman"/>
        </w:rPr>
        <w:t xml:space="preserve"> </w:t>
      </w:r>
      <w:r w:rsidR="00A47BB6" w:rsidRPr="00000176">
        <w:rPr>
          <w:rFonts w:ascii="Times New Roman" w:hAnsi="Times New Roman" w:cs="Times New Roman"/>
        </w:rPr>
        <w:t xml:space="preserve">a long-term (up to 15 or 20 years) </w:t>
      </w:r>
      <w:r w:rsidR="00A47BB6" w:rsidRPr="00EE7321">
        <w:rPr>
          <w:rFonts w:ascii="Times New Roman" w:hAnsi="Times New Roman" w:cs="Times New Roman"/>
        </w:rPr>
        <w:t>step-by-step renovation roadmap</w:t>
      </w:r>
      <w:r w:rsidR="00A47BB6" w:rsidRPr="00000176">
        <w:rPr>
          <w:rFonts w:ascii="Times New Roman" w:hAnsi="Times New Roman" w:cs="Times New Roman"/>
        </w:rPr>
        <w:t xml:space="preserve"> for a specific building</w:t>
      </w:r>
      <w:r w:rsidR="00CF0E96" w:rsidRPr="00000176">
        <w:rPr>
          <w:rFonts w:ascii="Times New Roman" w:hAnsi="Times New Roman" w:cs="Times New Roman"/>
        </w:rPr>
        <w:t xml:space="preserve"> resulting from an </w:t>
      </w:r>
      <w:r w:rsidR="00CF0E96" w:rsidRPr="000A4358">
        <w:rPr>
          <w:rFonts w:ascii="Times New Roman" w:hAnsi="Times New Roman" w:cs="Times New Roman"/>
        </w:rPr>
        <w:t>on-site energy audit fulfilling specific</w:t>
      </w:r>
      <w:r w:rsidR="00A47BB6" w:rsidRPr="005A2EDF">
        <w:rPr>
          <w:rFonts w:ascii="Times New Roman" w:hAnsi="Times New Roman" w:cs="Times New Roman"/>
        </w:rPr>
        <w:t xml:space="preserve"> quality</w:t>
      </w:r>
      <w:r w:rsidR="00A47BB6" w:rsidRPr="00000176">
        <w:rPr>
          <w:rFonts w:ascii="Times New Roman" w:hAnsi="Times New Roman" w:cs="Times New Roman"/>
        </w:rPr>
        <w:t xml:space="preserve"> criteria and outlining relevant measures and renovations that could improve the energy performance of a building</w:t>
      </w:r>
      <w:r w:rsidR="000A27CE" w:rsidRPr="00000176">
        <w:rPr>
          <w:rFonts w:ascii="Times New Roman" w:hAnsi="Times New Roman" w:cs="Times New Roman"/>
        </w:rPr>
        <w:t>.</w:t>
      </w:r>
      <w:r w:rsidR="005A0CCB" w:rsidRPr="00000176">
        <w:rPr>
          <w:rStyle w:val="FootnoteReference"/>
          <w:rFonts w:ascii="Times New Roman" w:hAnsi="Times New Roman" w:cs="Times New Roman"/>
        </w:rPr>
        <w:footnoteReference w:id="10"/>
      </w:r>
      <w:r w:rsidR="00A47BB6" w:rsidRPr="00000176">
        <w:rPr>
          <w:rFonts w:ascii="Times New Roman" w:hAnsi="Times New Roman" w:cs="Times New Roman"/>
        </w:rPr>
        <w:t xml:space="preserve"> </w:t>
      </w:r>
    </w:p>
    <w:p w14:paraId="43C29D6F" w14:textId="77777777" w:rsidR="005D4CB1" w:rsidRPr="00000176" w:rsidRDefault="005D4CB1" w:rsidP="00CE6267">
      <w:pPr>
        <w:pStyle w:val="Default"/>
        <w:spacing w:line="276" w:lineRule="auto"/>
        <w:jc w:val="both"/>
        <w:rPr>
          <w:rFonts w:ascii="Times New Roman" w:hAnsi="Times New Roman" w:cs="Times New Roman"/>
        </w:rPr>
      </w:pPr>
    </w:p>
    <w:p w14:paraId="766FD1DB" w14:textId="77777777" w:rsidR="00465BEE" w:rsidRPr="00000176" w:rsidRDefault="00D93A23" w:rsidP="00CE6267">
      <w:pPr>
        <w:pStyle w:val="Heading3"/>
        <w:spacing w:before="0" w:after="0" w:line="276" w:lineRule="auto"/>
        <w:rPr>
          <w:szCs w:val="24"/>
        </w:rPr>
      </w:pPr>
      <w:bookmarkStart w:id="19" w:name="_Toc523437043"/>
      <w:bookmarkStart w:id="20" w:name="_Toc524340588"/>
      <w:bookmarkEnd w:id="19"/>
      <w:r w:rsidRPr="00000176">
        <w:rPr>
          <w:szCs w:val="24"/>
        </w:rPr>
        <w:t>Policies and actions towards w</w:t>
      </w:r>
      <w:r w:rsidR="00465BEE" w:rsidRPr="00000176">
        <w:rPr>
          <w:szCs w:val="24"/>
        </w:rPr>
        <w:t>orst-performing</w:t>
      </w:r>
      <w:r w:rsidRPr="00000176">
        <w:rPr>
          <w:szCs w:val="24"/>
        </w:rPr>
        <w:t xml:space="preserve"> buildings</w:t>
      </w:r>
      <w:r w:rsidR="00465BEE" w:rsidRPr="00000176">
        <w:rPr>
          <w:szCs w:val="24"/>
        </w:rPr>
        <w:t xml:space="preserve"> and energy </w:t>
      </w:r>
      <w:proofErr w:type="gramStart"/>
      <w:r w:rsidR="00465BEE" w:rsidRPr="00000176">
        <w:rPr>
          <w:szCs w:val="24"/>
        </w:rPr>
        <w:t>poverty</w:t>
      </w:r>
      <w:r w:rsidR="007F36E9" w:rsidRPr="00000176">
        <w:rPr>
          <w:szCs w:val="24"/>
        </w:rPr>
        <w:t xml:space="preserve">  (</w:t>
      </w:r>
      <w:proofErr w:type="gramEnd"/>
      <w:r w:rsidR="007F36E9" w:rsidRPr="00000176">
        <w:rPr>
          <w:szCs w:val="24"/>
        </w:rPr>
        <w:t>Article 2a(1)(d)</w:t>
      </w:r>
      <w:r w:rsidR="001B2CBE" w:rsidRPr="00000176">
        <w:rPr>
          <w:szCs w:val="24"/>
        </w:rPr>
        <w:t>)</w:t>
      </w:r>
      <w:bookmarkEnd w:id="20"/>
    </w:p>
    <w:p w14:paraId="3AD2AFED" w14:textId="1786B05B" w:rsidR="006529F2" w:rsidRDefault="006529F2" w:rsidP="00CE6267">
      <w:pPr>
        <w:spacing w:after="0"/>
        <w:rPr>
          <w:rFonts w:ascii="Times New Roman" w:hAnsi="Times New Roman" w:cs="Times New Roman"/>
          <w:sz w:val="24"/>
          <w:szCs w:val="24"/>
        </w:rPr>
      </w:pPr>
      <w:r w:rsidRPr="00000176">
        <w:rPr>
          <w:rFonts w:ascii="Times New Roman" w:hAnsi="Times New Roman" w:cs="Times New Roman"/>
          <w:sz w:val="24"/>
          <w:szCs w:val="24"/>
        </w:rPr>
        <w:t>Article 2a(1)(</w:t>
      </w:r>
      <w:r w:rsidR="00C65F59" w:rsidRPr="00000176">
        <w:rPr>
          <w:rFonts w:ascii="Times New Roman" w:hAnsi="Times New Roman" w:cs="Times New Roman"/>
          <w:sz w:val="24"/>
          <w:szCs w:val="24"/>
        </w:rPr>
        <w:t>d</w:t>
      </w:r>
      <w:r w:rsidRPr="00000176">
        <w:rPr>
          <w:rFonts w:ascii="Times New Roman" w:hAnsi="Times New Roman" w:cs="Times New Roman"/>
          <w:sz w:val="24"/>
          <w:szCs w:val="24"/>
        </w:rPr>
        <w:t xml:space="preserve">) of the revised EPBD provides </w:t>
      </w:r>
      <w:r w:rsidR="0024701C" w:rsidRPr="00000176">
        <w:rPr>
          <w:rFonts w:ascii="Times New Roman" w:hAnsi="Times New Roman" w:cs="Times New Roman"/>
          <w:sz w:val="24"/>
          <w:szCs w:val="24"/>
        </w:rPr>
        <w:t xml:space="preserve">that LTRS </w:t>
      </w:r>
      <w:r w:rsidR="00677F9B" w:rsidRPr="00000176">
        <w:rPr>
          <w:rFonts w:ascii="Times New Roman" w:hAnsi="Times New Roman" w:cs="Times New Roman"/>
          <w:sz w:val="24"/>
          <w:szCs w:val="24"/>
        </w:rPr>
        <w:t xml:space="preserve">must </w:t>
      </w:r>
      <w:r w:rsidR="0024701C" w:rsidRPr="00000176">
        <w:rPr>
          <w:rFonts w:ascii="Times New Roman" w:hAnsi="Times New Roman" w:cs="Times New Roman"/>
          <w:sz w:val="24"/>
          <w:szCs w:val="24"/>
        </w:rPr>
        <w:t>encompass:</w:t>
      </w:r>
    </w:p>
    <w:p w14:paraId="698781D8" w14:textId="77777777" w:rsidR="007C6FF7" w:rsidRPr="00000176" w:rsidRDefault="007C6FF7" w:rsidP="00CE6267">
      <w:pPr>
        <w:spacing w:after="0"/>
        <w:rPr>
          <w:rFonts w:ascii="Times New Roman" w:hAnsi="Times New Roman" w:cs="Times New Roman"/>
          <w:sz w:val="24"/>
          <w:szCs w:val="24"/>
          <w:lang w:eastAsia="fr-BE"/>
        </w:rPr>
      </w:pPr>
    </w:p>
    <w:p w14:paraId="3FB3EA32" w14:textId="77777777" w:rsidR="00C65F59" w:rsidRDefault="00C65F59" w:rsidP="00CE6267">
      <w:pPr>
        <w:spacing w:after="0"/>
        <w:ind w:left="720"/>
        <w:jc w:val="both"/>
        <w:rPr>
          <w:rFonts w:ascii="Times New Roman" w:hAnsi="Times New Roman" w:cs="Times New Roman"/>
          <w:b/>
          <w:sz w:val="24"/>
          <w:szCs w:val="24"/>
        </w:rPr>
      </w:pPr>
      <w:r w:rsidRPr="00000176">
        <w:rPr>
          <w:rFonts w:ascii="Times New Roman" w:hAnsi="Times New Roman" w:cs="Times New Roman"/>
          <w:b/>
          <w:i/>
          <w:sz w:val="24"/>
          <w:szCs w:val="24"/>
        </w:rPr>
        <w:t>an overview of policies and actions to target the worst performing segments of the national building stock, split-incentive dilemmas, and market failures, and an outline of relevant national actions that contribute to the alleviation of energy poverty</w:t>
      </w:r>
      <w:r w:rsidRPr="00000176">
        <w:rPr>
          <w:rFonts w:ascii="Times New Roman" w:hAnsi="Times New Roman" w:cs="Times New Roman"/>
          <w:b/>
          <w:sz w:val="24"/>
          <w:szCs w:val="24"/>
        </w:rPr>
        <w:t>;</w:t>
      </w:r>
    </w:p>
    <w:p w14:paraId="596697DE" w14:textId="77777777" w:rsidR="007C6FF7" w:rsidRPr="00000176" w:rsidRDefault="007C6FF7" w:rsidP="00CE6267">
      <w:pPr>
        <w:spacing w:after="0"/>
        <w:ind w:left="720"/>
        <w:jc w:val="both"/>
        <w:rPr>
          <w:rFonts w:ascii="Times New Roman" w:hAnsi="Times New Roman" w:cs="Times New Roman"/>
          <w:b/>
          <w:sz w:val="24"/>
          <w:szCs w:val="24"/>
        </w:rPr>
      </w:pPr>
    </w:p>
    <w:p w14:paraId="614CAF26" w14:textId="1487C6F9" w:rsidR="00A70A68" w:rsidRPr="00424530" w:rsidRDefault="00C65F59" w:rsidP="00CE6267">
      <w:pPr>
        <w:spacing w:after="0"/>
        <w:jc w:val="both"/>
        <w:rPr>
          <w:rFonts w:ascii="Times New Roman" w:hAnsi="Times New Roman" w:cs="Times New Roman"/>
          <w:sz w:val="24"/>
          <w:szCs w:val="24"/>
        </w:rPr>
      </w:pPr>
      <w:r w:rsidRPr="00B76110">
        <w:rPr>
          <w:rFonts w:ascii="Times New Roman" w:hAnsi="Times New Roman" w:cs="Times New Roman"/>
          <w:sz w:val="24"/>
          <w:szCs w:val="24"/>
        </w:rPr>
        <w:t xml:space="preserve">This is a new element which did not </w:t>
      </w:r>
      <w:r w:rsidR="006529F2" w:rsidRPr="00B76110">
        <w:rPr>
          <w:rFonts w:ascii="Times New Roman" w:hAnsi="Times New Roman" w:cs="Times New Roman"/>
          <w:sz w:val="24"/>
          <w:szCs w:val="24"/>
        </w:rPr>
        <w:t>exis</w:t>
      </w:r>
      <w:r w:rsidRPr="00B76110">
        <w:rPr>
          <w:rFonts w:ascii="Times New Roman" w:hAnsi="Times New Roman" w:cs="Times New Roman"/>
          <w:sz w:val="24"/>
          <w:szCs w:val="24"/>
        </w:rPr>
        <w:t>t</w:t>
      </w:r>
      <w:r w:rsidR="006529F2" w:rsidRPr="00B76110">
        <w:rPr>
          <w:rFonts w:ascii="Times New Roman" w:hAnsi="Times New Roman" w:cs="Times New Roman"/>
          <w:sz w:val="24"/>
          <w:szCs w:val="24"/>
        </w:rPr>
        <w:t xml:space="preserve"> under Article 4 EED</w:t>
      </w:r>
      <w:r w:rsidRPr="00B76110">
        <w:rPr>
          <w:rFonts w:ascii="Times New Roman" w:hAnsi="Times New Roman" w:cs="Times New Roman"/>
          <w:sz w:val="24"/>
          <w:szCs w:val="24"/>
        </w:rPr>
        <w:t xml:space="preserve">. </w:t>
      </w:r>
      <w:r w:rsidR="006529F2" w:rsidRPr="00B76110">
        <w:rPr>
          <w:rFonts w:ascii="Times New Roman" w:hAnsi="Times New Roman" w:cs="Times New Roman"/>
          <w:sz w:val="24"/>
          <w:szCs w:val="24"/>
        </w:rPr>
        <w:t xml:space="preserve">Member States' </w:t>
      </w:r>
      <w:r w:rsidRPr="00B76110">
        <w:rPr>
          <w:rFonts w:ascii="Times New Roman" w:hAnsi="Times New Roman" w:cs="Times New Roman"/>
          <w:sz w:val="24"/>
          <w:szCs w:val="24"/>
        </w:rPr>
        <w:t>LTRS</w:t>
      </w:r>
      <w:r w:rsidR="006529F2" w:rsidRPr="00B76110">
        <w:rPr>
          <w:rFonts w:ascii="Times New Roman" w:hAnsi="Times New Roman" w:cs="Times New Roman"/>
          <w:sz w:val="24"/>
          <w:szCs w:val="24"/>
        </w:rPr>
        <w:t xml:space="preserve"> </w:t>
      </w:r>
      <w:r w:rsidRPr="00B76110">
        <w:rPr>
          <w:rFonts w:ascii="Times New Roman" w:hAnsi="Times New Roman" w:cs="Times New Roman"/>
          <w:sz w:val="24"/>
          <w:szCs w:val="24"/>
        </w:rPr>
        <w:t>will</w:t>
      </w:r>
      <w:r w:rsidR="006529F2" w:rsidRPr="00B76110">
        <w:rPr>
          <w:rFonts w:ascii="Times New Roman" w:hAnsi="Times New Roman" w:cs="Times New Roman"/>
          <w:sz w:val="24"/>
          <w:szCs w:val="24"/>
        </w:rPr>
        <w:t xml:space="preserve"> </w:t>
      </w:r>
      <w:r w:rsidRPr="00424530">
        <w:rPr>
          <w:rFonts w:ascii="Times New Roman" w:hAnsi="Times New Roman" w:cs="Times New Roman"/>
          <w:sz w:val="24"/>
          <w:szCs w:val="24"/>
        </w:rPr>
        <w:t xml:space="preserve">now </w:t>
      </w:r>
      <w:r w:rsidR="00796282" w:rsidRPr="00424530">
        <w:rPr>
          <w:rFonts w:ascii="Times New Roman" w:hAnsi="Times New Roman" w:cs="Times New Roman"/>
          <w:sz w:val="24"/>
          <w:szCs w:val="24"/>
        </w:rPr>
        <w:t xml:space="preserve">have </w:t>
      </w:r>
      <w:r w:rsidRPr="00424530">
        <w:rPr>
          <w:rFonts w:ascii="Times New Roman" w:hAnsi="Times New Roman" w:cs="Times New Roman"/>
          <w:sz w:val="24"/>
          <w:szCs w:val="24"/>
        </w:rPr>
        <w:t>to</w:t>
      </w:r>
      <w:r w:rsidR="0089606C" w:rsidRPr="00424530">
        <w:rPr>
          <w:rFonts w:ascii="Times New Roman" w:hAnsi="Times New Roman" w:cs="Times New Roman"/>
          <w:sz w:val="24"/>
          <w:szCs w:val="24"/>
        </w:rPr>
        <w:t xml:space="preserve"> give an overview of policies and actions that target</w:t>
      </w:r>
      <w:r w:rsidR="002E0A00" w:rsidRPr="00424530">
        <w:rPr>
          <w:rFonts w:ascii="Times New Roman" w:hAnsi="Times New Roman" w:cs="Times New Roman"/>
          <w:sz w:val="24"/>
          <w:szCs w:val="24"/>
        </w:rPr>
        <w:t>:</w:t>
      </w:r>
    </w:p>
    <w:p w14:paraId="55E83E1D" w14:textId="5EF91E46" w:rsidR="0089606C" w:rsidRPr="00231B0D" w:rsidRDefault="0089606C"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worst performing segments of the national building stock</w:t>
      </w:r>
      <w:r w:rsidR="002E0A00" w:rsidRPr="00231B0D">
        <w:rPr>
          <w:rFonts w:ascii="Times New Roman" w:hAnsi="Times New Roman" w:cs="Times New Roman"/>
          <w:color w:val="000000"/>
          <w:sz w:val="24"/>
          <w:szCs w:val="24"/>
        </w:rPr>
        <w:t>;</w:t>
      </w:r>
    </w:p>
    <w:p w14:paraId="49A3BB4C" w14:textId="7F9E952F" w:rsidR="0089606C" w:rsidRPr="00231B0D" w:rsidRDefault="0089606C"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split incentive dilemmas</w:t>
      </w:r>
      <w:r w:rsidR="002E0A00" w:rsidRPr="00231B0D">
        <w:rPr>
          <w:rFonts w:ascii="Times New Roman" w:hAnsi="Times New Roman" w:cs="Times New Roman"/>
          <w:color w:val="000000"/>
          <w:sz w:val="24"/>
          <w:szCs w:val="24"/>
        </w:rPr>
        <w:t>;</w:t>
      </w:r>
    </w:p>
    <w:p w14:paraId="29552781" w14:textId="798E944F" w:rsidR="0089606C" w:rsidRPr="00231B0D" w:rsidRDefault="0089606C"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market failures</w:t>
      </w:r>
      <w:r w:rsidR="002E0A00" w:rsidRPr="00231B0D">
        <w:rPr>
          <w:rFonts w:ascii="Times New Roman" w:hAnsi="Times New Roman" w:cs="Times New Roman"/>
          <w:color w:val="000000"/>
          <w:sz w:val="24"/>
          <w:szCs w:val="24"/>
        </w:rPr>
        <w:t>;</w:t>
      </w:r>
    </w:p>
    <w:p w14:paraId="42D951FC" w14:textId="3099E586" w:rsidR="0089606C" w:rsidRPr="00231B0D" w:rsidRDefault="0089606C"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alleviation of energy poverty</w:t>
      </w:r>
      <w:r w:rsidR="002E0A00" w:rsidRPr="00231B0D">
        <w:rPr>
          <w:rFonts w:ascii="Times New Roman" w:hAnsi="Times New Roman" w:cs="Times New Roman"/>
          <w:color w:val="000000"/>
          <w:sz w:val="24"/>
          <w:szCs w:val="24"/>
        </w:rPr>
        <w:t>.</w:t>
      </w:r>
    </w:p>
    <w:p w14:paraId="4FDD16EF" w14:textId="77777777" w:rsidR="007C6FF7" w:rsidRPr="00424530" w:rsidRDefault="007C6FF7" w:rsidP="007C6FF7">
      <w:pPr>
        <w:pStyle w:val="ListParagraph"/>
        <w:spacing w:after="0"/>
        <w:ind w:left="1080"/>
        <w:jc w:val="both"/>
        <w:rPr>
          <w:rFonts w:ascii="Times New Roman" w:hAnsi="Times New Roman" w:cs="Times New Roman"/>
          <w:sz w:val="24"/>
          <w:szCs w:val="24"/>
        </w:rPr>
      </w:pPr>
    </w:p>
    <w:p w14:paraId="39047FF6" w14:textId="7F1BE23A" w:rsidR="00796282" w:rsidRDefault="00796282" w:rsidP="00CE62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overview should encompass at least a short description of each policy and action, its scope and duration, the</w:t>
      </w:r>
      <w:r w:rsidR="00974E71">
        <w:rPr>
          <w:rFonts w:ascii="Times New Roman" w:hAnsi="Times New Roman" w:cs="Times New Roman"/>
          <w:sz w:val="24"/>
          <w:szCs w:val="24"/>
        </w:rPr>
        <w:t xml:space="preserve"> allocated</w:t>
      </w:r>
      <w:r>
        <w:rPr>
          <w:rFonts w:ascii="Times New Roman" w:hAnsi="Times New Roman" w:cs="Times New Roman"/>
          <w:sz w:val="24"/>
          <w:szCs w:val="24"/>
        </w:rPr>
        <w:t xml:space="preserve"> budget and the expected impact.</w:t>
      </w:r>
    </w:p>
    <w:p w14:paraId="6FC5AF41" w14:textId="77777777" w:rsidR="007C6FF7" w:rsidRDefault="007C6FF7" w:rsidP="00CE6267">
      <w:pPr>
        <w:spacing w:after="0"/>
        <w:jc w:val="both"/>
        <w:rPr>
          <w:rFonts w:ascii="Times New Roman" w:hAnsi="Times New Roman" w:cs="Times New Roman"/>
          <w:sz w:val="24"/>
          <w:szCs w:val="24"/>
        </w:rPr>
      </w:pPr>
    </w:p>
    <w:p w14:paraId="5CAD4476" w14:textId="73F62880" w:rsidR="00774015" w:rsidRPr="00000176" w:rsidRDefault="00776665" w:rsidP="00CE6267">
      <w:pPr>
        <w:spacing w:after="0"/>
        <w:jc w:val="both"/>
        <w:rPr>
          <w:rFonts w:ascii="Times New Roman" w:hAnsi="Times New Roman" w:cs="Times New Roman"/>
          <w:sz w:val="24"/>
          <w:szCs w:val="24"/>
          <w:lang w:val="en-US"/>
        </w:rPr>
      </w:pPr>
      <w:r>
        <w:rPr>
          <w:rFonts w:ascii="Times New Roman" w:hAnsi="Times New Roman" w:cs="Times New Roman"/>
          <w:sz w:val="24"/>
          <w:szCs w:val="24"/>
        </w:rPr>
        <w:t>Member States are to d</w:t>
      </w:r>
      <w:r w:rsidR="00CB23A9" w:rsidRPr="00000176">
        <w:rPr>
          <w:rFonts w:ascii="Times New Roman" w:hAnsi="Times New Roman" w:cs="Times New Roman"/>
          <w:sz w:val="24"/>
          <w:szCs w:val="24"/>
        </w:rPr>
        <w:t>etermin</w:t>
      </w:r>
      <w:r>
        <w:rPr>
          <w:rFonts w:ascii="Times New Roman" w:hAnsi="Times New Roman" w:cs="Times New Roman"/>
          <w:sz w:val="24"/>
          <w:szCs w:val="24"/>
        </w:rPr>
        <w:t xml:space="preserve">e </w:t>
      </w:r>
      <w:r w:rsidR="00CB23A9" w:rsidRPr="00000176">
        <w:rPr>
          <w:rFonts w:ascii="Times New Roman" w:hAnsi="Times New Roman" w:cs="Times New Roman"/>
          <w:sz w:val="24"/>
          <w:szCs w:val="24"/>
        </w:rPr>
        <w:t xml:space="preserve">the </w:t>
      </w:r>
      <w:r w:rsidR="00CB23A9" w:rsidRPr="00000176">
        <w:rPr>
          <w:rFonts w:ascii="Times New Roman" w:hAnsi="Times New Roman" w:cs="Times New Roman"/>
          <w:b/>
          <w:sz w:val="24"/>
          <w:szCs w:val="24"/>
        </w:rPr>
        <w:t>worst performing segments</w:t>
      </w:r>
      <w:r w:rsidR="00CB23A9" w:rsidRPr="00000176">
        <w:rPr>
          <w:rFonts w:ascii="Times New Roman" w:hAnsi="Times New Roman" w:cs="Times New Roman"/>
          <w:sz w:val="24"/>
          <w:szCs w:val="24"/>
        </w:rPr>
        <w:t xml:space="preserve"> of the</w:t>
      </w:r>
      <w:r>
        <w:rPr>
          <w:rFonts w:ascii="Times New Roman" w:hAnsi="Times New Roman" w:cs="Times New Roman"/>
          <w:sz w:val="24"/>
          <w:szCs w:val="24"/>
        </w:rPr>
        <w:t>ir</w:t>
      </w:r>
      <w:r w:rsidR="00CB23A9" w:rsidRPr="00000176">
        <w:rPr>
          <w:rFonts w:ascii="Times New Roman" w:hAnsi="Times New Roman" w:cs="Times New Roman"/>
          <w:sz w:val="24"/>
          <w:szCs w:val="24"/>
        </w:rPr>
        <w:t xml:space="preserve"> </w:t>
      </w:r>
      <w:r w:rsidR="004E6B54">
        <w:rPr>
          <w:rFonts w:ascii="Times New Roman" w:hAnsi="Times New Roman" w:cs="Times New Roman"/>
          <w:sz w:val="24"/>
          <w:szCs w:val="24"/>
        </w:rPr>
        <w:t xml:space="preserve">national </w:t>
      </w:r>
      <w:r w:rsidR="00CB23A9" w:rsidRPr="00000176">
        <w:rPr>
          <w:rFonts w:ascii="Times New Roman" w:hAnsi="Times New Roman" w:cs="Times New Roman"/>
          <w:sz w:val="24"/>
          <w:szCs w:val="24"/>
        </w:rPr>
        <w:t xml:space="preserve">building stock. </w:t>
      </w:r>
      <w:r>
        <w:rPr>
          <w:rFonts w:ascii="Times New Roman" w:hAnsi="Times New Roman" w:cs="Times New Roman"/>
          <w:sz w:val="24"/>
          <w:szCs w:val="24"/>
        </w:rPr>
        <w:t>This</w:t>
      </w:r>
      <w:r w:rsidR="00774015" w:rsidRPr="00000176">
        <w:rPr>
          <w:rFonts w:ascii="Times New Roman" w:hAnsi="Times New Roman" w:cs="Times New Roman"/>
          <w:sz w:val="24"/>
          <w:szCs w:val="24"/>
        </w:rPr>
        <w:t xml:space="preserve"> could be done</w:t>
      </w:r>
      <w:r w:rsidR="004E6B54">
        <w:rPr>
          <w:rFonts w:ascii="Times New Roman" w:hAnsi="Times New Roman" w:cs="Times New Roman"/>
          <w:sz w:val="24"/>
          <w:szCs w:val="24"/>
        </w:rPr>
        <w:t xml:space="preserve"> for example</w:t>
      </w:r>
      <w:r w:rsidR="00774015" w:rsidRPr="00000176">
        <w:rPr>
          <w:rFonts w:ascii="Times New Roman" w:hAnsi="Times New Roman" w:cs="Times New Roman"/>
          <w:sz w:val="24"/>
          <w:szCs w:val="24"/>
        </w:rPr>
        <w:t xml:space="preserve"> by setting a specific threshold, such as an Energy Performance Category (i.e. below "D"), a primary energy consumption figure (</w:t>
      </w:r>
      <w:proofErr w:type="spellStart"/>
      <w:r w:rsidR="00774015" w:rsidRPr="00000176">
        <w:rPr>
          <w:rFonts w:ascii="Times New Roman" w:hAnsi="Times New Roman" w:cs="Times New Roman"/>
          <w:sz w:val="24"/>
          <w:szCs w:val="24"/>
        </w:rPr>
        <w:t>expessed</w:t>
      </w:r>
      <w:proofErr w:type="spellEnd"/>
      <w:r w:rsidR="00774015" w:rsidRPr="00000176">
        <w:rPr>
          <w:rFonts w:ascii="Times New Roman" w:hAnsi="Times New Roman" w:cs="Times New Roman"/>
          <w:sz w:val="24"/>
          <w:szCs w:val="24"/>
        </w:rPr>
        <w:t xml:space="preserve"> in </w:t>
      </w:r>
      <w:r w:rsidR="00774015" w:rsidRPr="00000176">
        <w:rPr>
          <w:rFonts w:ascii="Times New Roman" w:hAnsi="Times New Roman" w:cs="Times New Roman"/>
          <w:sz w:val="24"/>
          <w:szCs w:val="24"/>
          <w:lang w:val="en-US"/>
        </w:rPr>
        <w:t>kwh/m</w:t>
      </w:r>
      <w:r w:rsidR="00774015" w:rsidRPr="00000176">
        <w:rPr>
          <w:rFonts w:ascii="Times New Roman" w:hAnsi="Times New Roman" w:cs="Times New Roman"/>
          <w:sz w:val="24"/>
          <w:szCs w:val="24"/>
          <w:vertAlign w:val="superscript"/>
          <w:lang w:val="en-US"/>
        </w:rPr>
        <w:t>2</w:t>
      </w:r>
      <w:r w:rsidR="000A6169" w:rsidRPr="00000176">
        <w:rPr>
          <w:rFonts w:ascii="Times New Roman" w:hAnsi="Times New Roman" w:cs="Times New Roman"/>
          <w:sz w:val="24"/>
          <w:szCs w:val="24"/>
          <w:vertAlign w:val="superscript"/>
          <w:lang w:val="en-US"/>
        </w:rPr>
        <w:t xml:space="preserve"> </w:t>
      </w:r>
      <w:r w:rsidR="00774015" w:rsidRPr="00000176">
        <w:rPr>
          <w:rFonts w:ascii="Times New Roman" w:hAnsi="Times New Roman" w:cs="Times New Roman"/>
          <w:sz w:val="24"/>
          <w:szCs w:val="24"/>
          <w:lang w:val="en-US"/>
        </w:rPr>
        <w:t xml:space="preserve">per year), or even buildings built before a specific date (i.e. before 1980). </w:t>
      </w:r>
    </w:p>
    <w:p w14:paraId="0DE1480D" w14:textId="77777777" w:rsidR="007C6FF7" w:rsidRDefault="007C6FF7" w:rsidP="00CE6267">
      <w:pPr>
        <w:spacing w:after="0"/>
        <w:jc w:val="both"/>
        <w:rPr>
          <w:rFonts w:ascii="Times New Roman" w:hAnsi="Times New Roman" w:cs="Times New Roman"/>
          <w:b/>
          <w:sz w:val="24"/>
          <w:szCs w:val="24"/>
        </w:rPr>
      </w:pPr>
    </w:p>
    <w:p w14:paraId="5119BAFD" w14:textId="1B213981" w:rsidR="00352FF6" w:rsidRPr="00DC24C0" w:rsidRDefault="00D2542D" w:rsidP="00CE6267">
      <w:pPr>
        <w:spacing w:after="0"/>
        <w:jc w:val="both"/>
        <w:rPr>
          <w:rFonts w:ascii="Times New Roman" w:hAnsi="Times New Roman" w:cs="Times New Roman"/>
          <w:sz w:val="24"/>
          <w:szCs w:val="24"/>
        </w:rPr>
      </w:pPr>
      <w:r w:rsidRPr="00000176">
        <w:rPr>
          <w:rFonts w:ascii="Times New Roman" w:hAnsi="Times New Roman" w:cs="Times New Roman"/>
          <w:b/>
          <w:sz w:val="24"/>
          <w:szCs w:val="24"/>
        </w:rPr>
        <w:t>'Split incentive'</w:t>
      </w:r>
      <w:r w:rsidR="00776665">
        <w:rPr>
          <w:rFonts w:ascii="Times New Roman" w:hAnsi="Times New Roman" w:cs="Times New Roman"/>
          <w:b/>
          <w:sz w:val="24"/>
          <w:szCs w:val="24"/>
        </w:rPr>
        <w:t xml:space="preserve"> </w:t>
      </w:r>
      <w:r w:rsidRPr="00000176">
        <w:rPr>
          <w:rFonts w:ascii="Times New Roman" w:hAnsi="Times New Roman" w:cs="Times New Roman"/>
          <w:sz w:val="24"/>
          <w:szCs w:val="24"/>
        </w:rPr>
        <w:t>refers to the situation where the building owner pays for energy retrofits</w:t>
      </w:r>
      <w:r w:rsidR="00776665">
        <w:rPr>
          <w:rFonts w:ascii="Times New Roman" w:hAnsi="Times New Roman" w:cs="Times New Roman"/>
          <w:sz w:val="24"/>
          <w:szCs w:val="24"/>
        </w:rPr>
        <w:t xml:space="preserve"> or</w:t>
      </w:r>
      <w:r w:rsidRPr="00000176">
        <w:rPr>
          <w:rFonts w:ascii="Times New Roman" w:hAnsi="Times New Roman" w:cs="Times New Roman"/>
          <w:sz w:val="24"/>
          <w:szCs w:val="24"/>
        </w:rPr>
        <w:t xml:space="preserve"> efficiency upgrades but cannot recover savings from reduced energy use that accrue to the tenant</w:t>
      </w:r>
      <w:r w:rsidR="004732C8">
        <w:rPr>
          <w:rFonts w:ascii="Times New Roman" w:hAnsi="Times New Roman" w:cs="Times New Roman"/>
          <w:sz w:val="24"/>
          <w:szCs w:val="24"/>
        </w:rPr>
        <w:t xml:space="preserve"> or vice versa</w:t>
      </w:r>
      <w:r w:rsidRPr="00000176">
        <w:rPr>
          <w:rFonts w:ascii="Times New Roman" w:hAnsi="Times New Roman" w:cs="Times New Roman"/>
          <w:sz w:val="24"/>
          <w:szCs w:val="24"/>
        </w:rPr>
        <w:t>.</w:t>
      </w:r>
      <w:r w:rsidR="004E6B54">
        <w:rPr>
          <w:rStyle w:val="FootnoteReference"/>
          <w:rFonts w:ascii="Times New Roman" w:hAnsi="Times New Roman" w:cs="Times New Roman"/>
          <w:sz w:val="24"/>
          <w:szCs w:val="24"/>
        </w:rPr>
        <w:footnoteReference w:id="11"/>
      </w:r>
      <w:r w:rsidR="00DC24C0">
        <w:rPr>
          <w:rFonts w:ascii="Times New Roman" w:hAnsi="Times New Roman" w:cs="Times New Roman"/>
          <w:sz w:val="24"/>
          <w:szCs w:val="24"/>
        </w:rPr>
        <w:t xml:space="preserve"> </w:t>
      </w:r>
      <w:r w:rsidR="004E6B54" w:rsidRPr="00DC24C0">
        <w:rPr>
          <w:rFonts w:ascii="Times New Roman" w:hAnsi="Times New Roman" w:cs="Times New Roman"/>
          <w:sz w:val="24"/>
          <w:szCs w:val="24"/>
        </w:rPr>
        <w:t xml:space="preserve">Member States are encouraged to consult </w:t>
      </w:r>
      <w:r w:rsidR="00776665" w:rsidRPr="00DC24C0">
        <w:rPr>
          <w:rFonts w:ascii="Times New Roman" w:hAnsi="Times New Roman" w:cs="Times New Roman"/>
          <w:sz w:val="24"/>
          <w:szCs w:val="24"/>
        </w:rPr>
        <w:t>the</w:t>
      </w:r>
      <w:r w:rsidR="004E6B54" w:rsidRPr="00DC24C0">
        <w:rPr>
          <w:rFonts w:ascii="Times New Roman" w:hAnsi="Times New Roman" w:cs="Times New Roman"/>
          <w:sz w:val="24"/>
          <w:szCs w:val="24"/>
        </w:rPr>
        <w:t xml:space="preserve"> report "Overcoming the split incentive barrier in the building sector" developed by JRC in 2014.</w:t>
      </w:r>
      <w:r w:rsidR="00097216" w:rsidRPr="00DC24C0">
        <w:rPr>
          <w:rStyle w:val="FootnoteReference"/>
          <w:rFonts w:ascii="Times New Roman" w:hAnsi="Times New Roman" w:cs="Times New Roman"/>
          <w:sz w:val="24"/>
          <w:szCs w:val="24"/>
        </w:rPr>
        <w:footnoteReference w:id="12"/>
      </w:r>
    </w:p>
    <w:p w14:paraId="1695E2E2" w14:textId="77777777" w:rsidR="007C6FF7" w:rsidRDefault="007C6FF7" w:rsidP="00CE6267">
      <w:pPr>
        <w:spacing w:after="0"/>
        <w:jc w:val="both"/>
        <w:rPr>
          <w:rFonts w:ascii="Times New Roman" w:hAnsi="Times New Roman" w:cs="Times New Roman"/>
          <w:sz w:val="24"/>
          <w:szCs w:val="24"/>
        </w:rPr>
      </w:pPr>
    </w:p>
    <w:p w14:paraId="2D5BF182" w14:textId="38146576" w:rsidR="00766BB5" w:rsidRPr="00000176" w:rsidRDefault="007C7E0B"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Mention of “</w:t>
      </w:r>
      <w:r w:rsidRPr="00000176">
        <w:rPr>
          <w:rFonts w:ascii="Times New Roman" w:hAnsi="Times New Roman" w:cs="Times New Roman"/>
          <w:b/>
          <w:sz w:val="24"/>
          <w:szCs w:val="24"/>
        </w:rPr>
        <w:t>market failures</w:t>
      </w:r>
      <w:r w:rsidRPr="00000176">
        <w:rPr>
          <w:rFonts w:ascii="Times New Roman" w:hAnsi="Times New Roman" w:cs="Times New Roman"/>
          <w:sz w:val="24"/>
          <w:szCs w:val="24"/>
        </w:rPr>
        <w:t xml:space="preserve">” in the revised EPBD is not new. </w:t>
      </w:r>
      <w:r w:rsidR="000A6169" w:rsidRPr="00000176">
        <w:rPr>
          <w:rFonts w:ascii="Times New Roman" w:hAnsi="Times New Roman" w:cs="Times New Roman"/>
          <w:sz w:val="24"/>
          <w:szCs w:val="24"/>
        </w:rPr>
        <w:t xml:space="preserve">Article 10 of the EPBD already identified </w:t>
      </w:r>
      <w:r w:rsidR="005A5494" w:rsidRPr="00000176">
        <w:rPr>
          <w:rFonts w:ascii="Times New Roman" w:hAnsi="Times New Roman" w:cs="Times New Roman"/>
          <w:b/>
          <w:sz w:val="24"/>
          <w:szCs w:val="24"/>
        </w:rPr>
        <w:t>market barriers and failures</w:t>
      </w:r>
      <w:r w:rsidR="005A5494" w:rsidRPr="00000176">
        <w:rPr>
          <w:rFonts w:ascii="Times New Roman" w:hAnsi="Times New Roman" w:cs="Times New Roman"/>
          <w:sz w:val="24"/>
          <w:szCs w:val="24"/>
        </w:rPr>
        <w:t xml:space="preserve"> </w:t>
      </w:r>
      <w:r w:rsidR="00F960D0" w:rsidRPr="00000176">
        <w:rPr>
          <w:rFonts w:ascii="Times New Roman" w:hAnsi="Times New Roman" w:cs="Times New Roman"/>
          <w:sz w:val="24"/>
          <w:szCs w:val="24"/>
        </w:rPr>
        <w:t>towards energy renovation</w:t>
      </w:r>
      <w:r w:rsidR="003C1AF7" w:rsidRPr="00000176">
        <w:rPr>
          <w:rFonts w:ascii="Times New Roman" w:hAnsi="Times New Roman" w:cs="Times New Roman"/>
          <w:sz w:val="24"/>
          <w:szCs w:val="24"/>
        </w:rPr>
        <w:t xml:space="preserve"> as a</w:t>
      </w:r>
      <w:r w:rsidRPr="00000176">
        <w:rPr>
          <w:rFonts w:ascii="Times New Roman" w:hAnsi="Times New Roman" w:cs="Times New Roman"/>
          <w:sz w:val="24"/>
          <w:szCs w:val="24"/>
        </w:rPr>
        <w:t>n area of focus</w:t>
      </w:r>
      <w:r w:rsidR="001C273B" w:rsidRPr="00000176">
        <w:rPr>
          <w:rFonts w:ascii="Times New Roman" w:hAnsi="Times New Roman" w:cs="Times New Roman"/>
          <w:sz w:val="24"/>
          <w:szCs w:val="24"/>
        </w:rPr>
        <w:t xml:space="preserve"> </w:t>
      </w:r>
      <w:r w:rsidR="00A76371" w:rsidRPr="00000176">
        <w:rPr>
          <w:rFonts w:ascii="Times New Roman" w:hAnsi="Times New Roman" w:cs="Times New Roman"/>
          <w:sz w:val="24"/>
          <w:szCs w:val="24"/>
        </w:rPr>
        <w:t xml:space="preserve">and </w:t>
      </w:r>
      <w:r w:rsidR="00C17806" w:rsidRPr="00000176">
        <w:rPr>
          <w:rFonts w:ascii="Times New Roman" w:hAnsi="Times New Roman" w:cs="Times New Roman"/>
          <w:sz w:val="24"/>
          <w:szCs w:val="24"/>
        </w:rPr>
        <w:t>R</w:t>
      </w:r>
      <w:r w:rsidR="00A76371" w:rsidRPr="00000176">
        <w:rPr>
          <w:rFonts w:ascii="Times New Roman" w:hAnsi="Times New Roman" w:cs="Times New Roman"/>
          <w:sz w:val="24"/>
          <w:szCs w:val="24"/>
        </w:rPr>
        <w:t xml:space="preserve">ecital 20 </w:t>
      </w:r>
      <w:r w:rsidR="00766BB5" w:rsidRPr="00000176">
        <w:rPr>
          <w:rFonts w:ascii="Times New Roman" w:hAnsi="Times New Roman" w:cs="Times New Roman"/>
          <w:sz w:val="24"/>
          <w:szCs w:val="24"/>
        </w:rPr>
        <w:t>of the EPBD</w:t>
      </w:r>
      <w:r w:rsidR="003C1AF7" w:rsidRPr="00000176">
        <w:rPr>
          <w:rFonts w:ascii="Times New Roman" w:hAnsi="Times New Roman" w:cs="Times New Roman"/>
          <w:sz w:val="24"/>
          <w:szCs w:val="24"/>
        </w:rPr>
        <w:t xml:space="preserve"> also referred to measures that aim to reduce existing legal and market barriers</w:t>
      </w:r>
      <w:r w:rsidR="00A76371" w:rsidRPr="00000176">
        <w:rPr>
          <w:rFonts w:ascii="Times New Roman" w:hAnsi="Times New Roman" w:cs="Times New Roman"/>
          <w:sz w:val="24"/>
          <w:szCs w:val="24"/>
        </w:rPr>
        <w:t xml:space="preserve">. </w:t>
      </w:r>
    </w:p>
    <w:p w14:paraId="0F2DA882" w14:textId="77777777" w:rsidR="007C6FF7" w:rsidRDefault="007C6FF7" w:rsidP="00CE6267">
      <w:pPr>
        <w:spacing w:after="0"/>
        <w:jc w:val="both"/>
        <w:rPr>
          <w:rFonts w:ascii="Times New Roman" w:hAnsi="Times New Roman" w:cs="Times New Roman"/>
          <w:sz w:val="24"/>
          <w:szCs w:val="24"/>
        </w:rPr>
      </w:pPr>
    </w:p>
    <w:p w14:paraId="3B4CC12C" w14:textId="77777777" w:rsidR="007C7E0B" w:rsidRPr="00000176" w:rsidRDefault="007C7E0B"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Mention of “</w:t>
      </w:r>
      <w:r w:rsidRPr="00000176">
        <w:rPr>
          <w:rFonts w:ascii="Times New Roman" w:hAnsi="Times New Roman" w:cs="Times New Roman"/>
          <w:b/>
          <w:sz w:val="24"/>
          <w:szCs w:val="24"/>
        </w:rPr>
        <w:t>energy poverty</w:t>
      </w:r>
      <w:r w:rsidRPr="00000176">
        <w:rPr>
          <w:rFonts w:ascii="Times New Roman" w:hAnsi="Times New Roman" w:cs="Times New Roman"/>
          <w:sz w:val="24"/>
          <w:szCs w:val="24"/>
        </w:rPr>
        <w:t xml:space="preserve">” in the revised EPBD is also not new as the EED included references to both “energy poverty (Article 7 and Recital 53) and “fuel poverty” (Recital 49). </w:t>
      </w:r>
    </w:p>
    <w:p w14:paraId="0A9B90A0" w14:textId="2A153ECE" w:rsidR="00697A5C" w:rsidRPr="00000176" w:rsidRDefault="00697A5C"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Energy poverty is a result of a combination of low income, high energy expenditure and poor energy performance of dwellings, which is why effective action to alleviate energy poverty </w:t>
      </w:r>
      <w:r w:rsidR="002632DD" w:rsidRPr="00000176">
        <w:rPr>
          <w:rFonts w:ascii="Times New Roman" w:hAnsi="Times New Roman" w:cs="Times New Roman"/>
          <w:sz w:val="24"/>
          <w:szCs w:val="24"/>
        </w:rPr>
        <w:t>must</w:t>
      </w:r>
      <w:r w:rsidRPr="00000176">
        <w:rPr>
          <w:rFonts w:ascii="Times New Roman" w:hAnsi="Times New Roman" w:cs="Times New Roman"/>
          <w:sz w:val="24"/>
          <w:szCs w:val="24"/>
        </w:rPr>
        <w:t xml:space="preserve"> include energy efficiency measures alongside social policy measures.</w:t>
      </w:r>
      <w:r w:rsidR="00415E2A" w:rsidRPr="00000176">
        <w:rPr>
          <w:rFonts w:ascii="Times New Roman" w:hAnsi="Times New Roman" w:cs="Times New Roman"/>
          <w:sz w:val="24"/>
          <w:szCs w:val="24"/>
        </w:rPr>
        <w:t xml:space="preserve"> </w:t>
      </w:r>
      <w:r w:rsidRPr="00000176">
        <w:rPr>
          <w:rFonts w:ascii="Times New Roman" w:hAnsi="Times New Roman" w:cs="Times New Roman"/>
          <w:sz w:val="24"/>
          <w:szCs w:val="24"/>
        </w:rPr>
        <w:t xml:space="preserve">While several Member States already have addressed energy poverty within their LTRS, the revised EPBD </w:t>
      </w:r>
      <w:r w:rsidR="00F338D4">
        <w:rPr>
          <w:rFonts w:ascii="Times New Roman" w:hAnsi="Times New Roman" w:cs="Times New Roman"/>
          <w:sz w:val="24"/>
          <w:szCs w:val="24"/>
        </w:rPr>
        <w:t>now requires</w:t>
      </w:r>
      <w:r w:rsidRPr="00000176">
        <w:rPr>
          <w:rFonts w:ascii="Times New Roman" w:hAnsi="Times New Roman" w:cs="Times New Roman"/>
          <w:sz w:val="24"/>
          <w:szCs w:val="24"/>
        </w:rPr>
        <w:t xml:space="preserve"> that national actions that contribute to the alleviation of energy poverty should be outlined</w:t>
      </w:r>
      <w:r w:rsidR="00AB5871" w:rsidRPr="00000176">
        <w:rPr>
          <w:rFonts w:ascii="Times New Roman" w:hAnsi="Times New Roman" w:cs="Times New Roman"/>
          <w:sz w:val="24"/>
          <w:szCs w:val="24"/>
        </w:rPr>
        <w:t xml:space="preserve"> in LTRS</w:t>
      </w:r>
      <w:r w:rsidRPr="00000176">
        <w:rPr>
          <w:rFonts w:ascii="Times New Roman" w:hAnsi="Times New Roman" w:cs="Times New Roman"/>
          <w:sz w:val="24"/>
          <w:szCs w:val="24"/>
        </w:rPr>
        <w:t>.</w:t>
      </w:r>
    </w:p>
    <w:p w14:paraId="65A643BD" w14:textId="77777777" w:rsidR="007C6FF7" w:rsidRDefault="007C6FF7" w:rsidP="00CE6267">
      <w:pPr>
        <w:spacing w:after="0"/>
        <w:jc w:val="both"/>
        <w:rPr>
          <w:rFonts w:ascii="Times New Roman" w:hAnsi="Times New Roman" w:cs="Times New Roman"/>
          <w:sz w:val="24"/>
          <w:szCs w:val="24"/>
        </w:rPr>
      </w:pPr>
    </w:p>
    <w:p w14:paraId="0D080339" w14:textId="7C797F88" w:rsidR="00346FC1" w:rsidRDefault="00B131E4"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w:t>
      </w:r>
      <w:r w:rsidR="00697A5C" w:rsidRPr="00000176">
        <w:rPr>
          <w:rFonts w:ascii="Times New Roman" w:hAnsi="Times New Roman" w:cs="Times New Roman"/>
          <w:sz w:val="24"/>
          <w:szCs w:val="24"/>
        </w:rPr>
        <w:t xml:space="preserve">he revised provision, together with the </w:t>
      </w:r>
      <w:r w:rsidR="00C17806" w:rsidRPr="00000176">
        <w:rPr>
          <w:rFonts w:ascii="Times New Roman" w:hAnsi="Times New Roman" w:cs="Times New Roman"/>
          <w:sz w:val="24"/>
          <w:szCs w:val="24"/>
        </w:rPr>
        <w:t>R</w:t>
      </w:r>
      <w:r w:rsidR="00697A5C" w:rsidRPr="00000176">
        <w:rPr>
          <w:rFonts w:ascii="Times New Roman" w:hAnsi="Times New Roman" w:cs="Times New Roman"/>
          <w:sz w:val="24"/>
          <w:szCs w:val="24"/>
        </w:rPr>
        <w:t>ecital 11</w:t>
      </w:r>
      <w:r w:rsidR="00C17806" w:rsidRPr="00000176">
        <w:rPr>
          <w:rFonts w:ascii="Times New Roman" w:hAnsi="Times New Roman" w:cs="Times New Roman"/>
          <w:sz w:val="24"/>
          <w:szCs w:val="24"/>
        </w:rPr>
        <w:t xml:space="preserve"> of Directive (EU) 2018/844</w:t>
      </w:r>
      <w:r w:rsidR="002450CF">
        <w:rPr>
          <w:rFonts w:ascii="Times New Roman" w:hAnsi="Times New Roman" w:cs="Times New Roman"/>
          <w:sz w:val="24"/>
          <w:szCs w:val="24"/>
        </w:rPr>
        <w:t>,</w:t>
      </w:r>
      <w:r w:rsidR="00697A5C" w:rsidRPr="00000176">
        <w:rPr>
          <w:rFonts w:ascii="Times New Roman" w:hAnsi="Times New Roman" w:cs="Times New Roman"/>
          <w:sz w:val="24"/>
          <w:szCs w:val="24"/>
        </w:rPr>
        <w:t xml:space="preserve"> provides </w:t>
      </w:r>
      <w:proofErr w:type="gramStart"/>
      <w:r w:rsidR="00697A5C" w:rsidRPr="00000176">
        <w:rPr>
          <w:rFonts w:ascii="Times New Roman" w:hAnsi="Times New Roman" w:cs="Times New Roman"/>
          <w:sz w:val="24"/>
          <w:szCs w:val="24"/>
        </w:rPr>
        <w:t>sufficient</w:t>
      </w:r>
      <w:proofErr w:type="gramEnd"/>
      <w:r w:rsidR="00697A5C" w:rsidRPr="00000176">
        <w:rPr>
          <w:rFonts w:ascii="Times New Roman" w:hAnsi="Times New Roman" w:cs="Times New Roman"/>
          <w:sz w:val="24"/>
          <w:szCs w:val="24"/>
        </w:rPr>
        <w:t xml:space="preserve"> flexibility for Member States to implement the legislation according to their national context without interfering with Member States competencies on social policy.</w:t>
      </w:r>
      <w:r w:rsidR="00B34880">
        <w:rPr>
          <w:rStyle w:val="FootnoteReference"/>
          <w:rFonts w:ascii="Times New Roman" w:hAnsi="Times New Roman" w:cs="Times New Roman"/>
          <w:sz w:val="24"/>
          <w:szCs w:val="24"/>
        </w:rPr>
        <w:footnoteReference w:id="13"/>
      </w:r>
      <w:r w:rsidR="00697A5C" w:rsidRPr="00000176">
        <w:rPr>
          <w:rFonts w:ascii="Times New Roman" w:hAnsi="Times New Roman" w:cs="Times New Roman"/>
          <w:sz w:val="24"/>
          <w:szCs w:val="24"/>
        </w:rPr>
        <w:t xml:space="preserve"> </w:t>
      </w:r>
    </w:p>
    <w:p w14:paraId="36819290" w14:textId="77777777" w:rsidR="007C6FF7" w:rsidRPr="00000176" w:rsidRDefault="007C6FF7" w:rsidP="00CE6267">
      <w:pPr>
        <w:spacing w:after="0"/>
        <w:jc w:val="both"/>
        <w:rPr>
          <w:rFonts w:ascii="Times New Roman" w:hAnsi="Times New Roman" w:cs="Times New Roman"/>
          <w:sz w:val="24"/>
          <w:szCs w:val="24"/>
        </w:rPr>
      </w:pPr>
    </w:p>
    <w:p w14:paraId="0DEA9642" w14:textId="77777777" w:rsidR="00465BEE" w:rsidRPr="00000176" w:rsidRDefault="00D93A23" w:rsidP="00CE6267">
      <w:pPr>
        <w:pStyle w:val="Heading3"/>
        <w:spacing w:before="0" w:after="0" w:line="276" w:lineRule="auto"/>
        <w:rPr>
          <w:szCs w:val="24"/>
        </w:rPr>
      </w:pPr>
      <w:bookmarkStart w:id="21" w:name="_Toc524340589"/>
      <w:r w:rsidRPr="00000176">
        <w:rPr>
          <w:szCs w:val="24"/>
        </w:rPr>
        <w:t>Policies and actions towards p</w:t>
      </w:r>
      <w:r w:rsidR="00465BEE" w:rsidRPr="00000176">
        <w:rPr>
          <w:szCs w:val="24"/>
        </w:rPr>
        <w:t xml:space="preserve">ublic </w:t>
      </w:r>
      <w:proofErr w:type="gramStart"/>
      <w:r w:rsidR="00465BEE" w:rsidRPr="00000176">
        <w:rPr>
          <w:szCs w:val="24"/>
        </w:rPr>
        <w:t>buildings</w:t>
      </w:r>
      <w:r w:rsidR="007F36E9" w:rsidRPr="00000176">
        <w:rPr>
          <w:szCs w:val="24"/>
        </w:rPr>
        <w:t xml:space="preserve">  (</w:t>
      </w:r>
      <w:proofErr w:type="gramEnd"/>
      <w:r w:rsidR="007F36E9" w:rsidRPr="00000176">
        <w:rPr>
          <w:szCs w:val="24"/>
        </w:rPr>
        <w:t>Article 2a(1)(e)</w:t>
      </w:r>
      <w:r w:rsidR="001B2CBE" w:rsidRPr="00000176">
        <w:rPr>
          <w:szCs w:val="24"/>
        </w:rPr>
        <w:t>)</w:t>
      </w:r>
      <w:bookmarkEnd w:id="21"/>
    </w:p>
    <w:p w14:paraId="7B931E11" w14:textId="31E22266" w:rsidR="006529F2" w:rsidRDefault="006529F2"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Article 2a(1)(</w:t>
      </w:r>
      <w:r w:rsidR="00CB0341" w:rsidRPr="00000176">
        <w:rPr>
          <w:rFonts w:ascii="Times New Roman" w:hAnsi="Times New Roman" w:cs="Times New Roman"/>
          <w:sz w:val="24"/>
          <w:szCs w:val="24"/>
        </w:rPr>
        <w:t>e</w:t>
      </w:r>
      <w:r w:rsidRPr="00000176">
        <w:rPr>
          <w:rFonts w:ascii="Times New Roman" w:hAnsi="Times New Roman" w:cs="Times New Roman"/>
          <w:sz w:val="24"/>
          <w:szCs w:val="24"/>
        </w:rPr>
        <w:t xml:space="preserve">) of the revised EPBD provides </w:t>
      </w:r>
      <w:r w:rsidR="0024701C" w:rsidRPr="00000176">
        <w:rPr>
          <w:rFonts w:ascii="Times New Roman" w:hAnsi="Times New Roman" w:cs="Times New Roman"/>
          <w:sz w:val="24"/>
          <w:szCs w:val="24"/>
        </w:rPr>
        <w:t xml:space="preserve">that LTRS </w:t>
      </w:r>
      <w:r w:rsidR="001F52B2" w:rsidRPr="00000176">
        <w:rPr>
          <w:rFonts w:ascii="Times New Roman" w:hAnsi="Times New Roman" w:cs="Times New Roman"/>
          <w:sz w:val="24"/>
          <w:szCs w:val="24"/>
        </w:rPr>
        <w:t xml:space="preserve">must </w:t>
      </w:r>
      <w:r w:rsidR="0024701C" w:rsidRPr="00000176">
        <w:rPr>
          <w:rFonts w:ascii="Times New Roman" w:hAnsi="Times New Roman" w:cs="Times New Roman"/>
          <w:sz w:val="24"/>
          <w:szCs w:val="24"/>
        </w:rPr>
        <w:t>encompass:</w:t>
      </w:r>
    </w:p>
    <w:p w14:paraId="55F565F0" w14:textId="77777777" w:rsidR="006529F2" w:rsidRPr="00000176" w:rsidRDefault="00CB0341" w:rsidP="00CE6267">
      <w:pPr>
        <w:pStyle w:val="ListParagraph"/>
        <w:spacing w:after="0"/>
        <w:ind w:firstLine="720"/>
        <w:jc w:val="both"/>
        <w:rPr>
          <w:rFonts w:ascii="Times New Roman" w:hAnsi="Times New Roman" w:cs="Times New Roman"/>
          <w:b/>
          <w:i/>
          <w:sz w:val="24"/>
          <w:szCs w:val="24"/>
        </w:rPr>
      </w:pPr>
      <w:r w:rsidRPr="00000176">
        <w:rPr>
          <w:rFonts w:ascii="Times New Roman" w:hAnsi="Times New Roman" w:cs="Times New Roman"/>
          <w:b/>
          <w:i/>
          <w:sz w:val="24"/>
          <w:szCs w:val="24"/>
        </w:rPr>
        <w:lastRenderedPageBreak/>
        <w:t>policies and actions to target all public buildings;</w:t>
      </w:r>
    </w:p>
    <w:p w14:paraId="71637065" w14:textId="77777777" w:rsidR="007C6FF7" w:rsidRDefault="007C6FF7" w:rsidP="00CE6267">
      <w:pPr>
        <w:spacing w:after="0"/>
        <w:jc w:val="both"/>
        <w:rPr>
          <w:rFonts w:ascii="Times New Roman" w:hAnsi="Times New Roman" w:cs="Times New Roman"/>
          <w:sz w:val="24"/>
          <w:szCs w:val="24"/>
        </w:rPr>
      </w:pPr>
    </w:p>
    <w:p w14:paraId="57790A08" w14:textId="132897FF" w:rsidR="002450CF" w:rsidRDefault="004F70FE" w:rsidP="00CE6267">
      <w:pPr>
        <w:spacing w:after="0"/>
        <w:jc w:val="both"/>
        <w:rPr>
          <w:rFonts w:ascii="Times New Roman" w:hAnsi="Times New Roman" w:cs="Times New Roman"/>
          <w:sz w:val="24"/>
          <w:szCs w:val="24"/>
        </w:rPr>
      </w:pPr>
      <w:r>
        <w:rPr>
          <w:rFonts w:ascii="Times New Roman" w:hAnsi="Times New Roman" w:cs="Times New Roman"/>
          <w:sz w:val="24"/>
          <w:szCs w:val="24"/>
        </w:rPr>
        <w:t>P</w:t>
      </w:r>
      <w:r w:rsidRPr="00000176">
        <w:rPr>
          <w:rFonts w:ascii="Times New Roman" w:hAnsi="Times New Roman" w:cs="Times New Roman"/>
          <w:sz w:val="24"/>
          <w:szCs w:val="24"/>
        </w:rPr>
        <w:t xml:space="preserve">ublic buildings were </w:t>
      </w:r>
      <w:r>
        <w:rPr>
          <w:rFonts w:ascii="Times New Roman" w:hAnsi="Times New Roman" w:cs="Times New Roman"/>
          <w:sz w:val="24"/>
          <w:szCs w:val="24"/>
        </w:rPr>
        <w:t>already</w:t>
      </w:r>
      <w:r w:rsidRPr="00000176">
        <w:rPr>
          <w:rFonts w:ascii="Times New Roman" w:hAnsi="Times New Roman" w:cs="Times New Roman"/>
          <w:sz w:val="24"/>
          <w:szCs w:val="24"/>
        </w:rPr>
        <w:t xml:space="preserve"> included in the</w:t>
      </w:r>
      <w:r w:rsidR="00062EA2">
        <w:rPr>
          <w:rFonts w:ascii="Times New Roman" w:hAnsi="Times New Roman" w:cs="Times New Roman"/>
          <w:sz w:val="24"/>
          <w:szCs w:val="24"/>
        </w:rPr>
        <w:t xml:space="preserve"> </w:t>
      </w:r>
      <w:r w:rsidRPr="00000176">
        <w:rPr>
          <w:rFonts w:ascii="Times New Roman" w:hAnsi="Times New Roman" w:cs="Times New Roman"/>
          <w:sz w:val="24"/>
          <w:szCs w:val="24"/>
        </w:rPr>
        <w:t>scope of Article 4 of the EED</w:t>
      </w:r>
      <w:r>
        <w:rPr>
          <w:rFonts w:ascii="Times New Roman" w:hAnsi="Times New Roman" w:cs="Times New Roman"/>
          <w:sz w:val="24"/>
          <w:szCs w:val="24"/>
        </w:rPr>
        <w:t xml:space="preserve">, but new Article 2a </w:t>
      </w:r>
      <w:r w:rsidR="002450CF">
        <w:rPr>
          <w:rFonts w:ascii="Times New Roman" w:hAnsi="Times New Roman" w:cs="Times New Roman"/>
          <w:sz w:val="24"/>
          <w:szCs w:val="24"/>
        </w:rPr>
        <w:t xml:space="preserve">also </w:t>
      </w:r>
      <w:r>
        <w:rPr>
          <w:rFonts w:ascii="Times New Roman" w:hAnsi="Times New Roman" w:cs="Times New Roman"/>
          <w:sz w:val="24"/>
          <w:szCs w:val="24"/>
        </w:rPr>
        <w:t>requires specific policies and actions targeting all public buildings.</w:t>
      </w:r>
      <w:r w:rsidR="002450CF">
        <w:rPr>
          <w:rFonts w:ascii="Times New Roman" w:hAnsi="Times New Roman" w:cs="Times New Roman"/>
          <w:sz w:val="24"/>
          <w:szCs w:val="24"/>
        </w:rPr>
        <w:t xml:space="preserve"> </w:t>
      </w:r>
    </w:p>
    <w:p w14:paraId="0EDBC5DC" w14:textId="77777777" w:rsidR="007C6FF7" w:rsidRDefault="007C6FF7" w:rsidP="00CE6267">
      <w:pPr>
        <w:spacing w:after="0"/>
        <w:jc w:val="both"/>
        <w:rPr>
          <w:rFonts w:ascii="Times New Roman" w:hAnsi="Times New Roman" w:cs="Times New Roman"/>
          <w:sz w:val="24"/>
          <w:szCs w:val="24"/>
        </w:rPr>
      </w:pPr>
    </w:p>
    <w:p w14:paraId="31F9DB62" w14:textId="05119BAB" w:rsidR="00626616" w:rsidRDefault="006C624C"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Both the EED and the EPBD include many provisions which oblige public authorities to lead by example by becoming early adopters of energy efficiency improvements</w:t>
      </w:r>
      <w:r w:rsidR="00043332">
        <w:rPr>
          <w:rFonts w:ascii="Times New Roman" w:hAnsi="Times New Roman" w:cs="Times New Roman"/>
          <w:sz w:val="24"/>
          <w:szCs w:val="24"/>
        </w:rPr>
        <w:t xml:space="preserve"> and</w:t>
      </w:r>
      <w:r w:rsidRPr="00000176">
        <w:rPr>
          <w:rFonts w:ascii="Times New Roman" w:hAnsi="Times New Roman" w:cs="Times New Roman"/>
          <w:sz w:val="24"/>
          <w:szCs w:val="24"/>
        </w:rPr>
        <w:t xml:space="preserve"> by showing that environmental and energy considerations are being </w:t>
      </w:r>
      <w:proofErr w:type="gramStart"/>
      <w:r w:rsidRPr="00000176">
        <w:rPr>
          <w:rFonts w:ascii="Times New Roman" w:hAnsi="Times New Roman" w:cs="Times New Roman"/>
          <w:sz w:val="24"/>
          <w:szCs w:val="24"/>
        </w:rPr>
        <w:t>taken into account</w:t>
      </w:r>
      <w:proofErr w:type="gramEnd"/>
      <w:r w:rsidRPr="00000176">
        <w:rPr>
          <w:rFonts w:ascii="Times New Roman" w:hAnsi="Times New Roman" w:cs="Times New Roman"/>
          <w:sz w:val="24"/>
          <w:szCs w:val="24"/>
        </w:rPr>
        <w:t xml:space="preserve">. </w:t>
      </w:r>
      <w:r w:rsidR="00062EA2">
        <w:rPr>
          <w:rFonts w:ascii="Times New Roman" w:hAnsi="Times New Roman" w:cs="Times New Roman"/>
          <w:sz w:val="24"/>
          <w:szCs w:val="24"/>
        </w:rPr>
        <w:t xml:space="preserve">The policies and actions </w:t>
      </w:r>
      <w:r w:rsidR="00D4443A">
        <w:rPr>
          <w:rFonts w:ascii="Times New Roman" w:hAnsi="Times New Roman" w:cs="Times New Roman"/>
          <w:sz w:val="24"/>
          <w:szCs w:val="24"/>
        </w:rPr>
        <w:t>under point (1)(e) of new Article 2a should encompass</w:t>
      </w:r>
      <w:r w:rsidR="0003783C">
        <w:rPr>
          <w:rFonts w:ascii="Times New Roman" w:hAnsi="Times New Roman" w:cs="Times New Roman"/>
          <w:sz w:val="24"/>
          <w:szCs w:val="24"/>
        </w:rPr>
        <w:t xml:space="preserve"> ongoing</w:t>
      </w:r>
      <w:r w:rsidR="00062EA2">
        <w:rPr>
          <w:rFonts w:ascii="Times New Roman" w:hAnsi="Times New Roman" w:cs="Times New Roman"/>
          <w:sz w:val="24"/>
          <w:szCs w:val="24"/>
        </w:rPr>
        <w:t xml:space="preserve"> initiatives undertaken by Member States to fulfil their obligations u</w:t>
      </w:r>
      <w:r w:rsidR="00D4210F">
        <w:rPr>
          <w:rFonts w:ascii="Times New Roman" w:hAnsi="Times New Roman" w:cs="Times New Roman"/>
          <w:sz w:val="24"/>
          <w:szCs w:val="24"/>
        </w:rPr>
        <w:t>nder Article</w:t>
      </w:r>
      <w:r w:rsidR="00062EA2">
        <w:rPr>
          <w:rFonts w:ascii="Times New Roman" w:hAnsi="Times New Roman" w:cs="Times New Roman"/>
          <w:sz w:val="24"/>
          <w:szCs w:val="24"/>
        </w:rPr>
        <w:t>s</w:t>
      </w:r>
      <w:r w:rsidR="00D4210F">
        <w:rPr>
          <w:rFonts w:ascii="Times New Roman" w:hAnsi="Times New Roman" w:cs="Times New Roman"/>
          <w:sz w:val="24"/>
          <w:szCs w:val="24"/>
        </w:rPr>
        <w:t xml:space="preserve"> 5</w:t>
      </w:r>
      <w:r w:rsidR="00062EA2">
        <w:rPr>
          <w:rFonts w:ascii="Times New Roman" w:hAnsi="Times New Roman" w:cs="Times New Roman"/>
          <w:sz w:val="24"/>
          <w:szCs w:val="24"/>
        </w:rPr>
        <w:t xml:space="preserve"> and 6</w:t>
      </w:r>
      <w:r w:rsidR="00D4210F">
        <w:rPr>
          <w:rFonts w:ascii="Times New Roman" w:hAnsi="Times New Roman" w:cs="Times New Roman"/>
          <w:sz w:val="24"/>
          <w:szCs w:val="24"/>
        </w:rPr>
        <w:t xml:space="preserve"> of the EED</w:t>
      </w:r>
      <w:r w:rsidR="00C316EA">
        <w:rPr>
          <w:rFonts w:ascii="Times New Roman" w:hAnsi="Times New Roman" w:cs="Times New Roman"/>
          <w:sz w:val="24"/>
          <w:szCs w:val="24"/>
        </w:rPr>
        <w:t>.</w:t>
      </w:r>
      <w:r w:rsidR="00062EA2">
        <w:rPr>
          <w:rStyle w:val="FootnoteReference"/>
          <w:rFonts w:ascii="Times New Roman" w:hAnsi="Times New Roman" w:cs="Times New Roman"/>
          <w:sz w:val="24"/>
          <w:szCs w:val="24"/>
        </w:rPr>
        <w:footnoteReference w:id="14"/>
      </w:r>
      <w:r w:rsidR="00062EA2">
        <w:rPr>
          <w:rFonts w:ascii="Times New Roman" w:hAnsi="Times New Roman" w:cs="Times New Roman"/>
          <w:sz w:val="24"/>
          <w:szCs w:val="24"/>
        </w:rPr>
        <w:t xml:space="preserve"> </w:t>
      </w:r>
      <w:r w:rsidR="00C316EA">
        <w:rPr>
          <w:rFonts w:ascii="Times New Roman" w:hAnsi="Times New Roman" w:cs="Times New Roman"/>
          <w:sz w:val="24"/>
          <w:szCs w:val="24"/>
        </w:rPr>
        <w:t>However, point (1)(e) of Article 2a is</w:t>
      </w:r>
      <w:r w:rsidR="00626616">
        <w:rPr>
          <w:rFonts w:ascii="Times New Roman" w:hAnsi="Times New Roman" w:cs="Times New Roman"/>
          <w:sz w:val="24"/>
          <w:szCs w:val="24"/>
        </w:rPr>
        <w:t xml:space="preserve"> broader</w:t>
      </w:r>
      <w:r w:rsidR="00D4210F">
        <w:rPr>
          <w:rFonts w:ascii="Times New Roman" w:hAnsi="Times New Roman" w:cs="Times New Roman"/>
          <w:sz w:val="24"/>
          <w:szCs w:val="24"/>
        </w:rPr>
        <w:t xml:space="preserve"> in scope</w:t>
      </w:r>
      <w:r w:rsidR="00626616">
        <w:rPr>
          <w:rFonts w:ascii="Times New Roman" w:hAnsi="Times New Roman" w:cs="Times New Roman"/>
          <w:sz w:val="24"/>
          <w:szCs w:val="24"/>
        </w:rPr>
        <w:t xml:space="preserve"> than Articles 5 </w:t>
      </w:r>
      <w:r>
        <w:rPr>
          <w:rFonts w:ascii="Times New Roman" w:hAnsi="Times New Roman" w:cs="Times New Roman"/>
          <w:sz w:val="24"/>
          <w:szCs w:val="24"/>
        </w:rPr>
        <w:t>and 6</w:t>
      </w:r>
      <w:r w:rsidR="004732C8">
        <w:rPr>
          <w:rFonts w:ascii="Times New Roman" w:hAnsi="Times New Roman" w:cs="Times New Roman"/>
          <w:sz w:val="24"/>
          <w:szCs w:val="24"/>
        </w:rPr>
        <w:t>, which only apply to central government,</w:t>
      </w:r>
      <w:r>
        <w:rPr>
          <w:rFonts w:ascii="Times New Roman" w:hAnsi="Times New Roman" w:cs="Times New Roman"/>
          <w:sz w:val="24"/>
          <w:szCs w:val="24"/>
        </w:rPr>
        <w:t xml:space="preserve"> </w:t>
      </w:r>
      <w:r w:rsidR="00D4210F">
        <w:rPr>
          <w:rFonts w:ascii="Times New Roman" w:hAnsi="Times New Roman" w:cs="Times New Roman"/>
          <w:sz w:val="24"/>
          <w:szCs w:val="24"/>
        </w:rPr>
        <w:t xml:space="preserve">given that </w:t>
      </w:r>
      <w:r w:rsidR="00043332">
        <w:rPr>
          <w:rFonts w:ascii="Times New Roman" w:hAnsi="Times New Roman" w:cs="Times New Roman"/>
          <w:sz w:val="24"/>
          <w:szCs w:val="24"/>
        </w:rPr>
        <w:t>it</w:t>
      </w:r>
      <w:r w:rsidR="00626616">
        <w:rPr>
          <w:rFonts w:ascii="Times New Roman" w:hAnsi="Times New Roman" w:cs="Times New Roman"/>
          <w:sz w:val="24"/>
          <w:szCs w:val="24"/>
        </w:rPr>
        <w:t xml:space="preserve"> concerns </w:t>
      </w:r>
      <w:r w:rsidR="00626616" w:rsidRPr="002326A3">
        <w:rPr>
          <w:rFonts w:ascii="Times New Roman" w:hAnsi="Times New Roman" w:cs="Times New Roman"/>
          <w:sz w:val="24"/>
          <w:szCs w:val="24"/>
          <w:u w:val="single"/>
        </w:rPr>
        <w:t>all</w:t>
      </w:r>
      <w:r w:rsidR="00626616">
        <w:rPr>
          <w:rFonts w:ascii="Times New Roman" w:hAnsi="Times New Roman" w:cs="Times New Roman"/>
          <w:sz w:val="24"/>
          <w:szCs w:val="24"/>
        </w:rPr>
        <w:t xml:space="preserve"> public buildings</w:t>
      </w:r>
      <w:r w:rsidR="00D4210F">
        <w:rPr>
          <w:rFonts w:ascii="Times New Roman" w:hAnsi="Times New Roman" w:cs="Times New Roman"/>
          <w:sz w:val="24"/>
          <w:szCs w:val="24"/>
        </w:rPr>
        <w:t xml:space="preserve"> (t</w:t>
      </w:r>
      <w:r w:rsidR="00626616">
        <w:rPr>
          <w:rFonts w:ascii="Times New Roman" w:hAnsi="Times New Roman" w:cs="Times New Roman"/>
          <w:sz w:val="24"/>
          <w:szCs w:val="24"/>
        </w:rPr>
        <w:t>his include</w:t>
      </w:r>
      <w:r w:rsidR="00C316EA">
        <w:rPr>
          <w:rFonts w:ascii="Times New Roman" w:hAnsi="Times New Roman" w:cs="Times New Roman"/>
          <w:sz w:val="24"/>
          <w:szCs w:val="24"/>
        </w:rPr>
        <w:t>s</w:t>
      </w:r>
      <w:r w:rsidR="00626616">
        <w:rPr>
          <w:rFonts w:ascii="Times New Roman" w:hAnsi="Times New Roman" w:cs="Times New Roman"/>
          <w:sz w:val="24"/>
          <w:szCs w:val="24"/>
        </w:rPr>
        <w:t>, for example, buildings rented by local or regional authorities</w:t>
      </w:r>
      <w:r w:rsidR="00D4210F">
        <w:rPr>
          <w:rFonts w:ascii="Times New Roman" w:hAnsi="Times New Roman" w:cs="Times New Roman"/>
          <w:sz w:val="24"/>
          <w:szCs w:val="24"/>
        </w:rPr>
        <w:t>)</w:t>
      </w:r>
      <w:r w:rsidR="00626616">
        <w:rPr>
          <w:rFonts w:ascii="Times New Roman" w:hAnsi="Times New Roman" w:cs="Times New Roman"/>
          <w:sz w:val="24"/>
          <w:szCs w:val="24"/>
        </w:rPr>
        <w:t>.</w:t>
      </w:r>
    </w:p>
    <w:p w14:paraId="0F8D9B68" w14:textId="77777777" w:rsidR="004732C8" w:rsidRDefault="004732C8" w:rsidP="00CE6267">
      <w:pPr>
        <w:spacing w:after="0"/>
        <w:jc w:val="both"/>
        <w:rPr>
          <w:rFonts w:ascii="Times New Roman" w:hAnsi="Times New Roman" w:cs="Times New Roman"/>
          <w:sz w:val="24"/>
          <w:szCs w:val="24"/>
        </w:rPr>
      </w:pPr>
    </w:p>
    <w:p w14:paraId="5A5C5FD6" w14:textId="062012EC" w:rsidR="00E31E33" w:rsidRDefault="009C7D52"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F</w:t>
      </w:r>
      <w:r w:rsidR="000A089C" w:rsidRPr="00000176">
        <w:rPr>
          <w:rFonts w:ascii="Times New Roman" w:hAnsi="Times New Roman" w:cs="Times New Roman"/>
          <w:sz w:val="24"/>
          <w:szCs w:val="24"/>
        </w:rPr>
        <w:t>i</w:t>
      </w:r>
      <w:r w:rsidR="00D32EBE" w:rsidRPr="00000176">
        <w:rPr>
          <w:rFonts w:ascii="Times New Roman" w:hAnsi="Times New Roman" w:cs="Times New Roman"/>
          <w:sz w:val="24"/>
          <w:szCs w:val="24"/>
        </w:rPr>
        <w:t>nancial mechanisms</w:t>
      </w:r>
      <w:r w:rsidR="000A089C" w:rsidRPr="00000176">
        <w:rPr>
          <w:rFonts w:ascii="Times New Roman" w:hAnsi="Times New Roman" w:cs="Times New Roman"/>
          <w:sz w:val="24"/>
          <w:szCs w:val="24"/>
        </w:rPr>
        <w:t xml:space="preserve"> and </w:t>
      </w:r>
      <w:r w:rsidR="00D32EBE" w:rsidRPr="00000176">
        <w:rPr>
          <w:rFonts w:ascii="Times New Roman" w:hAnsi="Times New Roman" w:cs="Times New Roman"/>
          <w:sz w:val="24"/>
          <w:szCs w:val="24"/>
        </w:rPr>
        <w:t>incentives</w:t>
      </w:r>
      <w:r w:rsidR="003F6521" w:rsidRPr="00000176">
        <w:rPr>
          <w:rFonts w:ascii="Times New Roman" w:hAnsi="Times New Roman" w:cs="Times New Roman"/>
          <w:sz w:val="24"/>
          <w:szCs w:val="24"/>
        </w:rPr>
        <w:t xml:space="preserve"> should </w:t>
      </w:r>
      <w:r w:rsidR="00D32EBE" w:rsidRPr="00000176">
        <w:rPr>
          <w:rFonts w:ascii="Times New Roman" w:hAnsi="Times New Roman" w:cs="Times New Roman"/>
          <w:sz w:val="24"/>
          <w:szCs w:val="24"/>
        </w:rPr>
        <w:t>promot</w:t>
      </w:r>
      <w:r w:rsidR="00CB1F47" w:rsidRPr="00000176">
        <w:rPr>
          <w:rFonts w:ascii="Times New Roman" w:hAnsi="Times New Roman" w:cs="Times New Roman"/>
          <w:sz w:val="24"/>
          <w:szCs w:val="24"/>
        </w:rPr>
        <w:t>e</w:t>
      </w:r>
      <w:r w:rsidR="00D32EBE" w:rsidRPr="00000176">
        <w:rPr>
          <w:rFonts w:ascii="Times New Roman" w:hAnsi="Times New Roman" w:cs="Times New Roman"/>
          <w:sz w:val="24"/>
          <w:szCs w:val="24"/>
        </w:rPr>
        <w:t xml:space="preserve"> investments for public authorities in an energy efficient building stock, for example by </w:t>
      </w:r>
      <w:r w:rsidR="00CB1F47" w:rsidRPr="00000176">
        <w:rPr>
          <w:rFonts w:ascii="Times New Roman" w:hAnsi="Times New Roman" w:cs="Times New Roman"/>
          <w:sz w:val="24"/>
          <w:szCs w:val="24"/>
        </w:rPr>
        <w:t xml:space="preserve">way of </w:t>
      </w:r>
      <w:r w:rsidR="00D32EBE" w:rsidRPr="00000176">
        <w:rPr>
          <w:rFonts w:ascii="Times New Roman" w:hAnsi="Times New Roman" w:cs="Times New Roman"/>
          <w:sz w:val="24"/>
          <w:szCs w:val="24"/>
        </w:rPr>
        <w:t>public-private partnerships or option</w:t>
      </w:r>
      <w:r w:rsidR="003F6521" w:rsidRPr="00000176">
        <w:rPr>
          <w:rFonts w:ascii="Times New Roman" w:hAnsi="Times New Roman" w:cs="Times New Roman"/>
          <w:sz w:val="24"/>
          <w:szCs w:val="24"/>
        </w:rPr>
        <w:t>al energy performance contracts</w:t>
      </w:r>
      <w:r w:rsidR="00071CE8" w:rsidRPr="00000176">
        <w:rPr>
          <w:rStyle w:val="FootnoteReference"/>
          <w:rFonts w:ascii="Times New Roman" w:hAnsi="Times New Roman" w:cs="Times New Roman"/>
          <w:sz w:val="24"/>
          <w:szCs w:val="24"/>
        </w:rPr>
        <w:footnoteReference w:id="15"/>
      </w:r>
      <w:r w:rsidR="00071CE8" w:rsidRPr="00071CE8">
        <w:rPr>
          <w:rFonts w:ascii="Times New Roman" w:hAnsi="Times New Roman" w:cs="Times New Roman"/>
          <w:sz w:val="24"/>
          <w:szCs w:val="24"/>
        </w:rPr>
        <w:t xml:space="preserve"> </w:t>
      </w:r>
      <w:r w:rsidR="00071CE8" w:rsidRPr="00000176">
        <w:rPr>
          <w:rFonts w:ascii="Times New Roman" w:hAnsi="Times New Roman" w:cs="Times New Roman"/>
          <w:sz w:val="24"/>
          <w:szCs w:val="24"/>
        </w:rPr>
        <w:t>in line with Eurostat guidance</w:t>
      </w:r>
      <w:r w:rsidR="0003783C">
        <w:rPr>
          <w:rFonts w:ascii="Times New Roman" w:hAnsi="Times New Roman" w:cs="Times New Roman"/>
          <w:sz w:val="24"/>
          <w:szCs w:val="24"/>
        </w:rPr>
        <w:t>.</w:t>
      </w:r>
      <w:r w:rsidR="00071CE8">
        <w:rPr>
          <w:rStyle w:val="FootnoteReference"/>
          <w:rFonts w:ascii="Times New Roman" w:hAnsi="Times New Roman" w:cs="Times New Roman"/>
          <w:sz w:val="24"/>
          <w:szCs w:val="24"/>
        </w:rPr>
        <w:footnoteReference w:id="16"/>
      </w:r>
      <w:r w:rsidR="004F70FE">
        <w:rPr>
          <w:rFonts w:ascii="Times New Roman" w:hAnsi="Times New Roman" w:cs="Times New Roman"/>
          <w:sz w:val="24"/>
          <w:szCs w:val="24"/>
        </w:rPr>
        <w:t xml:space="preserve"> </w:t>
      </w:r>
    </w:p>
    <w:p w14:paraId="20424371" w14:textId="77777777" w:rsidR="007C6FF7" w:rsidRPr="00000176" w:rsidRDefault="007C6FF7" w:rsidP="00CE6267">
      <w:pPr>
        <w:spacing w:after="0"/>
        <w:jc w:val="both"/>
        <w:rPr>
          <w:rFonts w:ascii="Times New Roman" w:hAnsi="Times New Roman" w:cs="Times New Roman"/>
          <w:sz w:val="24"/>
          <w:szCs w:val="24"/>
        </w:rPr>
      </w:pPr>
    </w:p>
    <w:p w14:paraId="31620991" w14:textId="77777777" w:rsidR="00465BEE" w:rsidRPr="00000176" w:rsidRDefault="00EB42D3" w:rsidP="00CE6267">
      <w:pPr>
        <w:pStyle w:val="Heading3"/>
        <w:spacing w:before="0" w:after="0" w:line="276" w:lineRule="auto"/>
        <w:rPr>
          <w:szCs w:val="24"/>
        </w:rPr>
      </w:pPr>
      <w:bookmarkStart w:id="22" w:name="_Toc523745736"/>
      <w:bookmarkStart w:id="23" w:name="_Toc524340590"/>
      <w:bookmarkEnd w:id="22"/>
      <w:r w:rsidRPr="00000176">
        <w:rPr>
          <w:szCs w:val="24"/>
        </w:rPr>
        <w:t>Incentives towards s</w:t>
      </w:r>
      <w:r w:rsidR="00465BEE" w:rsidRPr="00000176">
        <w:rPr>
          <w:szCs w:val="24"/>
        </w:rPr>
        <w:t>mart technologies</w:t>
      </w:r>
      <w:r w:rsidRPr="00000176">
        <w:rPr>
          <w:szCs w:val="24"/>
        </w:rPr>
        <w:t xml:space="preserve"> and skills</w:t>
      </w:r>
      <w:r w:rsidR="00797804" w:rsidRPr="00000176">
        <w:rPr>
          <w:szCs w:val="24"/>
        </w:rPr>
        <w:t xml:space="preserve"> </w:t>
      </w:r>
      <w:r w:rsidR="001B2CBE" w:rsidRPr="00000176">
        <w:rPr>
          <w:szCs w:val="24"/>
        </w:rPr>
        <w:t>–</w:t>
      </w:r>
      <w:r w:rsidR="00A81B3F" w:rsidRPr="00000176">
        <w:rPr>
          <w:szCs w:val="24"/>
        </w:rPr>
        <w:t xml:space="preserve"> </w:t>
      </w:r>
      <w:r w:rsidR="001B2CBE" w:rsidRPr="00000176">
        <w:rPr>
          <w:szCs w:val="24"/>
        </w:rPr>
        <w:t>(</w:t>
      </w:r>
      <w:r w:rsidR="00A81B3F" w:rsidRPr="00000176">
        <w:rPr>
          <w:szCs w:val="24"/>
        </w:rPr>
        <w:t>Article 2a(1)(f)</w:t>
      </w:r>
      <w:r w:rsidR="001B2CBE" w:rsidRPr="00000176">
        <w:rPr>
          <w:szCs w:val="24"/>
        </w:rPr>
        <w:t>)</w:t>
      </w:r>
      <w:bookmarkEnd w:id="23"/>
    </w:p>
    <w:p w14:paraId="007AE2FE" w14:textId="77777777" w:rsidR="00223388" w:rsidRDefault="00223388" w:rsidP="00CE6267">
      <w:pPr>
        <w:pStyle w:val="ListParagraph"/>
        <w:spacing w:after="0"/>
        <w:ind w:left="0"/>
        <w:jc w:val="both"/>
        <w:rPr>
          <w:rFonts w:ascii="Times New Roman" w:hAnsi="Times New Roman" w:cs="Times New Roman"/>
          <w:sz w:val="24"/>
          <w:szCs w:val="24"/>
        </w:rPr>
      </w:pPr>
      <w:r w:rsidRPr="00000176">
        <w:rPr>
          <w:rFonts w:ascii="Times New Roman" w:hAnsi="Times New Roman" w:cs="Times New Roman"/>
          <w:sz w:val="24"/>
          <w:szCs w:val="24"/>
        </w:rPr>
        <w:t xml:space="preserve">One of the objectives of the revised EPBD is to modernise the </w:t>
      </w:r>
      <w:r>
        <w:rPr>
          <w:rFonts w:ascii="Times New Roman" w:hAnsi="Times New Roman" w:cs="Times New Roman"/>
          <w:sz w:val="24"/>
          <w:szCs w:val="24"/>
        </w:rPr>
        <w:t>D</w:t>
      </w:r>
      <w:r w:rsidRPr="00000176">
        <w:rPr>
          <w:rFonts w:ascii="Times New Roman" w:hAnsi="Times New Roman" w:cs="Times New Roman"/>
          <w:sz w:val="24"/>
          <w:szCs w:val="24"/>
        </w:rPr>
        <w:t xml:space="preserve">irective </w:t>
      </w:r>
      <w:proofErr w:type="gramStart"/>
      <w:r w:rsidRPr="00000176">
        <w:rPr>
          <w:rFonts w:ascii="Times New Roman" w:hAnsi="Times New Roman" w:cs="Times New Roman"/>
          <w:sz w:val="24"/>
          <w:szCs w:val="24"/>
        </w:rPr>
        <w:t>in light of</w:t>
      </w:r>
      <w:proofErr w:type="gramEnd"/>
      <w:r w:rsidRPr="00000176">
        <w:rPr>
          <w:rFonts w:ascii="Times New Roman" w:hAnsi="Times New Roman" w:cs="Times New Roman"/>
          <w:sz w:val="24"/>
          <w:szCs w:val="24"/>
        </w:rPr>
        <w:t xml:space="preserve"> technological developments such as smart building technologies and to facilitate the </w:t>
      </w:r>
      <w:r>
        <w:rPr>
          <w:rFonts w:ascii="Times New Roman" w:hAnsi="Times New Roman" w:cs="Times New Roman"/>
          <w:sz w:val="24"/>
          <w:szCs w:val="24"/>
        </w:rPr>
        <w:t>uptake</w:t>
      </w:r>
      <w:r w:rsidRPr="00000176">
        <w:rPr>
          <w:rFonts w:ascii="Times New Roman" w:hAnsi="Times New Roman" w:cs="Times New Roman"/>
          <w:sz w:val="24"/>
          <w:szCs w:val="24"/>
        </w:rPr>
        <w:t xml:space="preserve"> of electric vehicles and other technologies both through specific </w:t>
      </w:r>
      <w:r>
        <w:rPr>
          <w:rFonts w:ascii="Times New Roman" w:hAnsi="Times New Roman" w:cs="Times New Roman"/>
          <w:sz w:val="24"/>
          <w:szCs w:val="24"/>
        </w:rPr>
        <w:t xml:space="preserve">installation </w:t>
      </w:r>
      <w:r w:rsidRPr="00000176">
        <w:rPr>
          <w:rFonts w:ascii="Times New Roman" w:hAnsi="Times New Roman" w:cs="Times New Roman"/>
          <w:sz w:val="24"/>
          <w:szCs w:val="24"/>
        </w:rPr>
        <w:t>requirements and by ensuring that</w:t>
      </w:r>
      <w:r>
        <w:rPr>
          <w:rFonts w:ascii="Times New Roman" w:hAnsi="Times New Roman" w:cs="Times New Roman"/>
          <w:sz w:val="24"/>
          <w:szCs w:val="24"/>
        </w:rPr>
        <w:t xml:space="preserve"> building professionals can deliver</w:t>
      </w:r>
      <w:r w:rsidRPr="00000176">
        <w:rPr>
          <w:rFonts w:ascii="Times New Roman" w:hAnsi="Times New Roman" w:cs="Times New Roman"/>
          <w:sz w:val="24"/>
          <w:szCs w:val="24"/>
        </w:rPr>
        <w:t xml:space="preserve"> </w:t>
      </w:r>
      <w:r>
        <w:rPr>
          <w:rFonts w:ascii="Times New Roman" w:hAnsi="Times New Roman" w:cs="Times New Roman"/>
          <w:sz w:val="24"/>
          <w:szCs w:val="24"/>
        </w:rPr>
        <w:t>the appropriate skills and know-how to deploy new technologies.</w:t>
      </w:r>
    </w:p>
    <w:p w14:paraId="29221A92" w14:textId="77777777" w:rsidR="007C6FF7" w:rsidRPr="00000176" w:rsidRDefault="007C6FF7" w:rsidP="00CE6267">
      <w:pPr>
        <w:pStyle w:val="ListParagraph"/>
        <w:spacing w:after="0"/>
        <w:ind w:left="0"/>
        <w:jc w:val="both"/>
        <w:rPr>
          <w:rFonts w:ascii="Times New Roman" w:hAnsi="Times New Roman" w:cs="Times New Roman"/>
          <w:sz w:val="24"/>
          <w:szCs w:val="24"/>
        </w:rPr>
      </w:pPr>
    </w:p>
    <w:p w14:paraId="1915CB22" w14:textId="08A80D4D" w:rsidR="00797804" w:rsidRDefault="00797804"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Article 2a(1)(f) of the revised EPBD provides </w:t>
      </w:r>
      <w:r w:rsidR="0024701C" w:rsidRPr="00000176">
        <w:rPr>
          <w:rFonts w:ascii="Times New Roman" w:hAnsi="Times New Roman" w:cs="Times New Roman"/>
          <w:sz w:val="24"/>
          <w:szCs w:val="24"/>
        </w:rPr>
        <w:t xml:space="preserve">that LTRS </w:t>
      </w:r>
      <w:r w:rsidR="00EC50C5" w:rsidRPr="00000176">
        <w:rPr>
          <w:rFonts w:ascii="Times New Roman" w:hAnsi="Times New Roman" w:cs="Times New Roman"/>
          <w:sz w:val="24"/>
          <w:szCs w:val="24"/>
        </w:rPr>
        <w:t xml:space="preserve">must </w:t>
      </w:r>
      <w:r w:rsidR="0024701C" w:rsidRPr="00000176">
        <w:rPr>
          <w:rFonts w:ascii="Times New Roman" w:hAnsi="Times New Roman" w:cs="Times New Roman"/>
          <w:sz w:val="24"/>
          <w:szCs w:val="24"/>
        </w:rPr>
        <w:t>encompass:</w:t>
      </w:r>
    </w:p>
    <w:p w14:paraId="1C6228AF" w14:textId="77777777" w:rsidR="007C6FF7" w:rsidRPr="00000176" w:rsidRDefault="007C6FF7" w:rsidP="00CE6267">
      <w:pPr>
        <w:spacing w:after="0"/>
        <w:jc w:val="both"/>
        <w:rPr>
          <w:rFonts w:ascii="Times New Roman" w:hAnsi="Times New Roman" w:cs="Times New Roman"/>
          <w:sz w:val="24"/>
          <w:szCs w:val="24"/>
          <w:lang w:eastAsia="fr-BE"/>
        </w:rPr>
      </w:pPr>
    </w:p>
    <w:p w14:paraId="741E8774" w14:textId="77777777" w:rsidR="00797804" w:rsidRDefault="00797804" w:rsidP="00CE6267">
      <w:pPr>
        <w:spacing w:after="0"/>
        <w:ind w:left="720"/>
        <w:jc w:val="both"/>
        <w:rPr>
          <w:rFonts w:ascii="Times New Roman" w:hAnsi="Times New Roman" w:cs="Times New Roman"/>
          <w:b/>
          <w:sz w:val="24"/>
          <w:szCs w:val="24"/>
        </w:rPr>
      </w:pPr>
      <w:r w:rsidRPr="00000176">
        <w:rPr>
          <w:rFonts w:ascii="Times New Roman" w:hAnsi="Times New Roman" w:cs="Times New Roman"/>
          <w:b/>
          <w:i/>
          <w:sz w:val="24"/>
          <w:szCs w:val="24"/>
        </w:rPr>
        <w:t>an overview of national initiatives to promote smart technologies and well-connected buildings and communities, as well as skills and education in the construction and energy efficiency sectors</w:t>
      </w:r>
      <w:r w:rsidRPr="00000176">
        <w:rPr>
          <w:rFonts w:ascii="Times New Roman" w:hAnsi="Times New Roman" w:cs="Times New Roman"/>
          <w:b/>
          <w:sz w:val="24"/>
          <w:szCs w:val="24"/>
        </w:rPr>
        <w:t>;</w:t>
      </w:r>
    </w:p>
    <w:p w14:paraId="7CBF8CA6" w14:textId="77777777" w:rsidR="007C6FF7" w:rsidRPr="00000176" w:rsidRDefault="007C6FF7" w:rsidP="00CE6267">
      <w:pPr>
        <w:spacing w:after="0"/>
        <w:ind w:left="720"/>
        <w:jc w:val="both"/>
        <w:rPr>
          <w:rFonts w:ascii="Times New Roman" w:hAnsi="Times New Roman" w:cs="Times New Roman"/>
          <w:b/>
          <w:sz w:val="24"/>
          <w:szCs w:val="24"/>
        </w:rPr>
      </w:pPr>
    </w:p>
    <w:p w14:paraId="64197452" w14:textId="77777777" w:rsidR="00F16161" w:rsidRPr="00000176" w:rsidRDefault="00797804"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This is a new element </w:t>
      </w:r>
      <w:r w:rsidR="001A30BC" w:rsidRPr="00000176">
        <w:rPr>
          <w:rFonts w:ascii="Times New Roman" w:hAnsi="Times New Roman" w:cs="Times New Roman"/>
          <w:sz w:val="24"/>
          <w:szCs w:val="24"/>
        </w:rPr>
        <w:t xml:space="preserve">of LTRS </w:t>
      </w:r>
      <w:r w:rsidRPr="00000176">
        <w:rPr>
          <w:rFonts w:ascii="Times New Roman" w:hAnsi="Times New Roman" w:cs="Times New Roman"/>
          <w:sz w:val="24"/>
          <w:szCs w:val="24"/>
        </w:rPr>
        <w:t xml:space="preserve">which did not exist under Article 4 EED. Member States' LTRS will now need to give an overview </w:t>
      </w:r>
      <w:r w:rsidR="00F16161" w:rsidRPr="00000176">
        <w:rPr>
          <w:rFonts w:ascii="Times New Roman" w:hAnsi="Times New Roman" w:cs="Times New Roman"/>
          <w:sz w:val="24"/>
          <w:szCs w:val="24"/>
        </w:rPr>
        <w:t>of national initiatives that promote</w:t>
      </w:r>
    </w:p>
    <w:p w14:paraId="1F9F8010" w14:textId="70F09F41" w:rsidR="00F16161" w:rsidRPr="0084640E" w:rsidRDefault="00F16161" w:rsidP="00231B0D">
      <w:pPr>
        <w:pStyle w:val="ListParagraph"/>
        <w:numPr>
          <w:ilvl w:val="0"/>
          <w:numId w:val="9"/>
        </w:numPr>
        <w:spacing w:after="0"/>
        <w:jc w:val="both"/>
        <w:rPr>
          <w:rFonts w:ascii="Times New Roman" w:hAnsi="Times New Roman" w:cs="Times New Roman"/>
          <w:sz w:val="24"/>
          <w:szCs w:val="24"/>
        </w:rPr>
      </w:pPr>
      <w:r w:rsidRPr="0084640E">
        <w:rPr>
          <w:rFonts w:ascii="Times New Roman" w:hAnsi="Times New Roman" w:cs="Times New Roman"/>
          <w:sz w:val="24"/>
          <w:szCs w:val="24"/>
        </w:rPr>
        <w:t>smart technologies</w:t>
      </w:r>
      <w:r w:rsidR="0084640E" w:rsidRPr="0084640E">
        <w:rPr>
          <w:rFonts w:ascii="Times New Roman" w:hAnsi="Times New Roman" w:cs="Times New Roman"/>
          <w:sz w:val="24"/>
          <w:szCs w:val="24"/>
        </w:rPr>
        <w:t xml:space="preserve"> and </w:t>
      </w:r>
      <w:r w:rsidRPr="0084640E">
        <w:rPr>
          <w:rFonts w:ascii="Times New Roman" w:hAnsi="Times New Roman" w:cs="Times New Roman"/>
          <w:sz w:val="24"/>
          <w:szCs w:val="24"/>
        </w:rPr>
        <w:t>well-connected buildings and communities</w:t>
      </w:r>
      <w:r w:rsidR="002E0A00" w:rsidRPr="0084640E">
        <w:rPr>
          <w:rFonts w:ascii="Times New Roman" w:hAnsi="Times New Roman" w:cs="Times New Roman"/>
          <w:sz w:val="24"/>
          <w:szCs w:val="24"/>
        </w:rPr>
        <w:t>;</w:t>
      </w:r>
    </w:p>
    <w:p w14:paraId="529D2251" w14:textId="77777777" w:rsidR="002E0A00" w:rsidRDefault="00F16161"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skills and education in the construction and energy efficiency sectors</w:t>
      </w:r>
      <w:r w:rsidR="002E0A00">
        <w:rPr>
          <w:rFonts w:ascii="Times New Roman" w:hAnsi="Times New Roman" w:cs="Times New Roman"/>
          <w:sz w:val="24"/>
          <w:szCs w:val="24"/>
        </w:rPr>
        <w:t>.</w:t>
      </w:r>
    </w:p>
    <w:p w14:paraId="5B83BCA8" w14:textId="77777777" w:rsidR="007C6FF7" w:rsidRDefault="007C6FF7" w:rsidP="007C6FF7">
      <w:pPr>
        <w:pStyle w:val="ListParagraph"/>
        <w:spacing w:after="0"/>
        <w:ind w:left="1080"/>
        <w:jc w:val="both"/>
        <w:rPr>
          <w:rFonts w:ascii="Times New Roman" w:hAnsi="Times New Roman" w:cs="Times New Roman"/>
          <w:sz w:val="24"/>
          <w:szCs w:val="24"/>
        </w:rPr>
      </w:pPr>
    </w:p>
    <w:p w14:paraId="4500B8AF" w14:textId="3AF481C9" w:rsidR="00797804" w:rsidRDefault="002E0A00" w:rsidP="00CE6267">
      <w:pPr>
        <w:spacing w:after="0"/>
        <w:jc w:val="both"/>
        <w:rPr>
          <w:rFonts w:ascii="Times New Roman" w:hAnsi="Times New Roman" w:cs="Times New Roman"/>
          <w:sz w:val="24"/>
          <w:szCs w:val="24"/>
        </w:rPr>
      </w:pPr>
      <w:r w:rsidRPr="00F903DD">
        <w:rPr>
          <w:rFonts w:ascii="Times New Roman" w:hAnsi="Times New Roman" w:cs="Times New Roman"/>
          <w:sz w:val="24"/>
          <w:szCs w:val="24"/>
        </w:rPr>
        <w:lastRenderedPageBreak/>
        <w:t xml:space="preserve">The overview should encompass at least a short description of each </w:t>
      </w:r>
      <w:r w:rsidR="00AE1673">
        <w:rPr>
          <w:rFonts w:ascii="Times New Roman" w:hAnsi="Times New Roman" w:cs="Times New Roman"/>
          <w:sz w:val="24"/>
          <w:szCs w:val="24"/>
        </w:rPr>
        <w:t>initiative</w:t>
      </w:r>
      <w:r w:rsidRPr="00F903DD">
        <w:rPr>
          <w:rFonts w:ascii="Times New Roman" w:hAnsi="Times New Roman" w:cs="Times New Roman"/>
          <w:sz w:val="24"/>
          <w:szCs w:val="24"/>
        </w:rPr>
        <w:t>, its scope and duration, the allocated budget and the expected impact.</w:t>
      </w:r>
    </w:p>
    <w:p w14:paraId="41EDDA2A" w14:textId="28F2C25B" w:rsidR="009055D0" w:rsidRPr="00000176" w:rsidRDefault="00100002" w:rsidP="00CE6267">
      <w:pPr>
        <w:pStyle w:val="ListParagraph"/>
        <w:spacing w:after="0"/>
        <w:ind w:left="0"/>
        <w:jc w:val="both"/>
        <w:rPr>
          <w:rFonts w:ascii="Times New Roman" w:hAnsi="Times New Roman" w:cs="Times New Roman"/>
          <w:sz w:val="24"/>
          <w:szCs w:val="24"/>
        </w:rPr>
      </w:pPr>
      <w:r w:rsidRPr="00000176">
        <w:rPr>
          <w:rFonts w:ascii="Times New Roman" w:hAnsi="Times New Roman" w:cs="Times New Roman"/>
          <w:b/>
          <w:sz w:val="24"/>
          <w:szCs w:val="24"/>
        </w:rPr>
        <w:t>Smartness in buildings</w:t>
      </w:r>
      <w:r w:rsidRPr="00000176">
        <w:rPr>
          <w:rFonts w:ascii="Times New Roman" w:hAnsi="Times New Roman" w:cs="Times New Roman"/>
          <w:sz w:val="24"/>
          <w:szCs w:val="24"/>
        </w:rPr>
        <w:t xml:space="preserve"> is an essential element in a decarbonised, renewable-intensive and more dynamic energy system in Europe with the aim of reaching the 2030 EU targets on energy efficiency and renewable energy, and of achieving a decarbonised EU building stock by 2050.</w:t>
      </w:r>
      <w:r w:rsidR="009055D0" w:rsidRPr="00000176">
        <w:rPr>
          <w:rFonts w:ascii="Times New Roman" w:hAnsi="Times New Roman" w:cs="Times New Roman"/>
          <w:sz w:val="24"/>
          <w:szCs w:val="24"/>
        </w:rPr>
        <w:t xml:space="preserve"> </w:t>
      </w:r>
      <w:r w:rsidR="00F903DD">
        <w:rPr>
          <w:rFonts w:ascii="Times New Roman" w:hAnsi="Times New Roman" w:cs="Times New Roman"/>
          <w:sz w:val="24"/>
          <w:szCs w:val="24"/>
        </w:rPr>
        <w:t>LTRS must describe the national initiatives on</w:t>
      </w:r>
      <w:r w:rsidR="009055D0" w:rsidRPr="00000176">
        <w:rPr>
          <w:rFonts w:ascii="Times New Roman" w:hAnsi="Times New Roman" w:cs="Times New Roman"/>
          <w:sz w:val="24"/>
          <w:szCs w:val="24"/>
        </w:rPr>
        <w:t xml:space="preserve"> the smartness of technical building systems and appliances </w:t>
      </w:r>
      <w:r w:rsidR="00F903DD">
        <w:rPr>
          <w:rFonts w:ascii="Times New Roman" w:hAnsi="Times New Roman" w:cs="Times New Roman"/>
          <w:sz w:val="24"/>
          <w:szCs w:val="24"/>
        </w:rPr>
        <w:t xml:space="preserve">that </w:t>
      </w:r>
      <w:r w:rsidR="009055D0" w:rsidRPr="00000176">
        <w:rPr>
          <w:rFonts w:ascii="Times New Roman" w:hAnsi="Times New Roman" w:cs="Times New Roman"/>
          <w:sz w:val="24"/>
          <w:szCs w:val="24"/>
        </w:rPr>
        <w:t>aim to:</w:t>
      </w:r>
    </w:p>
    <w:p w14:paraId="5CD74F01" w14:textId="77777777" w:rsidR="009055D0" w:rsidRPr="00000176" w:rsidRDefault="009055D0"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Achieve high energy efficiency by optimal operation of the building and facilitate the maintenance of technical building systems;</w:t>
      </w:r>
    </w:p>
    <w:p w14:paraId="4AFEB9B9" w14:textId="77777777" w:rsidR="009055D0" w:rsidRPr="00000176" w:rsidRDefault="009055D0"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Strengthen the role of demand side flexibility for increasing the share of renewables in the energy system and making sure that the benefits are cascaded down to the consumers;</w:t>
      </w:r>
    </w:p>
    <w:p w14:paraId="32114526" w14:textId="29671D69" w:rsidR="00F903DD" w:rsidRPr="00FA35D2" w:rsidRDefault="009055D0"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Ensure that the building user’s needs are </w:t>
      </w:r>
      <w:proofErr w:type="gramStart"/>
      <w:r w:rsidRPr="00000176">
        <w:rPr>
          <w:rFonts w:ascii="Times New Roman" w:hAnsi="Times New Roman" w:cs="Times New Roman"/>
          <w:sz w:val="24"/>
          <w:szCs w:val="24"/>
        </w:rPr>
        <w:t>covered</w:t>
      </w:r>
      <w:proofErr w:type="gramEnd"/>
      <w:r w:rsidRPr="00000176">
        <w:rPr>
          <w:rFonts w:ascii="Times New Roman" w:hAnsi="Times New Roman" w:cs="Times New Roman"/>
          <w:sz w:val="24"/>
          <w:szCs w:val="24"/>
        </w:rPr>
        <w:t xml:space="preserve"> and they can effectively interact with the building. </w:t>
      </w:r>
    </w:p>
    <w:p w14:paraId="52D2074F" w14:textId="7E361C4E" w:rsidR="00795FC8" w:rsidRDefault="00FA35D2" w:rsidP="00231B0D">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Contribute to the establishment of w</w:t>
      </w:r>
      <w:r w:rsidR="00795FC8" w:rsidRPr="00F903DD">
        <w:rPr>
          <w:rFonts w:ascii="Times New Roman" w:hAnsi="Times New Roman" w:cs="Times New Roman"/>
          <w:sz w:val="24"/>
          <w:szCs w:val="24"/>
        </w:rPr>
        <w:t>ell-connected buildings</w:t>
      </w:r>
      <w:r>
        <w:rPr>
          <w:rFonts w:ascii="Times New Roman" w:hAnsi="Times New Roman" w:cs="Times New Roman"/>
          <w:sz w:val="24"/>
          <w:szCs w:val="24"/>
        </w:rPr>
        <w:t xml:space="preserve"> and smart </w:t>
      </w:r>
      <w:r w:rsidR="00795FC8" w:rsidRPr="00F903DD">
        <w:rPr>
          <w:rFonts w:ascii="Times New Roman" w:hAnsi="Times New Roman" w:cs="Times New Roman"/>
          <w:sz w:val="24"/>
          <w:szCs w:val="24"/>
        </w:rPr>
        <w:t>communities</w:t>
      </w:r>
      <w:r>
        <w:rPr>
          <w:rFonts w:ascii="Times New Roman" w:hAnsi="Times New Roman" w:cs="Times New Roman"/>
          <w:sz w:val="24"/>
          <w:szCs w:val="24"/>
        </w:rPr>
        <w:t>.</w:t>
      </w:r>
    </w:p>
    <w:p w14:paraId="3CDC607E" w14:textId="77777777" w:rsidR="00FA35D2" w:rsidRPr="00F903DD" w:rsidRDefault="00FA35D2" w:rsidP="00CE6267">
      <w:pPr>
        <w:pStyle w:val="ListParagraph"/>
        <w:spacing w:after="0"/>
        <w:jc w:val="both"/>
        <w:rPr>
          <w:rFonts w:ascii="Times New Roman" w:hAnsi="Times New Roman" w:cs="Times New Roman"/>
          <w:sz w:val="24"/>
          <w:szCs w:val="24"/>
        </w:rPr>
      </w:pPr>
    </w:p>
    <w:p w14:paraId="3CA47FCD" w14:textId="2DCD6F36" w:rsidR="00420E1D" w:rsidRPr="00000176" w:rsidRDefault="00420E1D" w:rsidP="00CE6267">
      <w:pPr>
        <w:pStyle w:val="ListParagraph"/>
        <w:spacing w:after="0"/>
        <w:ind w:left="0"/>
        <w:jc w:val="both"/>
        <w:rPr>
          <w:rFonts w:ascii="Times New Roman" w:hAnsi="Times New Roman" w:cs="Times New Roman"/>
          <w:sz w:val="24"/>
          <w:szCs w:val="24"/>
        </w:rPr>
      </w:pPr>
      <w:r w:rsidRPr="00000176">
        <w:rPr>
          <w:rFonts w:ascii="Times New Roman" w:hAnsi="Times New Roman" w:cs="Times New Roman"/>
          <w:sz w:val="24"/>
          <w:szCs w:val="24"/>
        </w:rPr>
        <w:t>The training of energy experts is essential in ensuring the transfer of knowledge on issues related to EPBD</w:t>
      </w:r>
      <w:r w:rsidR="00D16D1A">
        <w:rPr>
          <w:rFonts w:ascii="Times New Roman" w:hAnsi="Times New Roman" w:cs="Times New Roman"/>
          <w:sz w:val="24"/>
          <w:szCs w:val="24"/>
        </w:rPr>
        <w:t xml:space="preserve"> implementation</w:t>
      </w:r>
      <w:r w:rsidRPr="00000176">
        <w:rPr>
          <w:rFonts w:ascii="Times New Roman" w:hAnsi="Times New Roman" w:cs="Times New Roman"/>
          <w:sz w:val="24"/>
          <w:szCs w:val="24"/>
        </w:rPr>
        <w:t>. Within the framework of Article 17, Member States must already ensure that energy performance certification of buildings and inspection of heating and air</w:t>
      </w:r>
      <w:r w:rsidR="00DD0D3A" w:rsidRPr="00000176">
        <w:rPr>
          <w:rFonts w:ascii="Times New Roman" w:hAnsi="Times New Roman" w:cs="Times New Roman"/>
          <w:sz w:val="24"/>
          <w:szCs w:val="24"/>
        </w:rPr>
        <w:t>-</w:t>
      </w:r>
      <w:r w:rsidRPr="00000176">
        <w:rPr>
          <w:rFonts w:ascii="Times New Roman" w:hAnsi="Times New Roman" w:cs="Times New Roman"/>
          <w:sz w:val="24"/>
          <w:szCs w:val="24"/>
        </w:rPr>
        <w:t>conditioning systems are carried out in an independent manner by qualified and/or accredited experts.</w:t>
      </w:r>
      <w:r w:rsidR="00FA35D2">
        <w:rPr>
          <w:rFonts w:ascii="Times New Roman" w:hAnsi="Times New Roman" w:cs="Times New Roman"/>
          <w:sz w:val="24"/>
          <w:szCs w:val="24"/>
        </w:rPr>
        <w:t xml:space="preserve"> LTRS should therefore present an overview of national </w:t>
      </w:r>
      <w:proofErr w:type="spellStart"/>
      <w:r w:rsidR="00FA35D2">
        <w:rPr>
          <w:rFonts w:ascii="Times New Roman" w:hAnsi="Times New Roman" w:cs="Times New Roman"/>
          <w:sz w:val="24"/>
          <w:szCs w:val="24"/>
        </w:rPr>
        <w:t>intiatives</w:t>
      </w:r>
      <w:proofErr w:type="spellEnd"/>
      <w:r w:rsidR="00FA35D2">
        <w:rPr>
          <w:rFonts w:ascii="Times New Roman" w:hAnsi="Times New Roman" w:cs="Times New Roman"/>
          <w:sz w:val="24"/>
          <w:szCs w:val="24"/>
        </w:rPr>
        <w:t xml:space="preserve"> promoting </w:t>
      </w:r>
      <w:r w:rsidR="00FA35D2" w:rsidRPr="00000176">
        <w:rPr>
          <w:rFonts w:ascii="Times New Roman" w:hAnsi="Times New Roman" w:cs="Times New Roman"/>
          <w:sz w:val="24"/>
          <w:szCs w:val="24"/>
        </w:rPr>
        <w:t xml:space="preserve">the </w:t>
      </w:r>
      <w:r w:rsidR="00FA35D2">
        <w:rPr>
          <w:rFonts w:ascii="Times New Roman" w:hAnsi="Times New Roman" w:cs="Times New Roman"/>
          <w:sz w:val="24"/>
          <w:szCs w:val="24"/>
        </w:rPr>
        <w:t xml:space="preserve">necessary </w:t>
      </w:r>
      <w:r w:rsidR="00FA35D2" w:rsidRPr="00000176">
        <w:rPr>
          <w:rFonts w:ascii="Times New Roman" w:hAnsi="Times New Roman" w:cs="Times New Roman"/>
          <w:sz w:val="24"/>
          <w:szCs w:val="24"/>
        </w:rPr>
        <w:t>skills of building professionals</w:t>
      </w:r>
      <w:r w:rsidR="00FA35D2" w:rsidRPr="00FA35D2">
        <w:rPr>
          <w:rFonts w:ascii="Times New Roman" w:hAnsi="Times New Roman" w:cs="Times New Roman"/>
          <w:sz w:val="24"/>
          <w:szCs w:val="24"/>
        </w:rPr>
        <w:t xml:space="preserve"> </w:t>
      </w:r>
      <w:r w:rsidR="00FA35D2" w:rsidRPr="00000176">
        <w:rPr>
          <w:rFonts w:ascii="Times New Roman" w:hAnsi="Times New Roman" w:cs="Times New Roman"/>
          <w:sz w:val="24"/>
          <w:szCs w:val="24"/>
        </w:rPr>
        <w:t xml:space="preserve">in the application of new techniques and technologies in the field of </w:t>
      </w:r>
      <w:r w:rsidR="00FA35D2">
        <w:rPr>
          <w:rFonts w:ascii="Times New Roman" w:hAnsi="Times New Roman" w:cs="Times New Roman"/>
          <w:sz w:val="24"/>
          <w:szCs w:val="24"/>
        </w:rPr>
        <w:t xml:space="preserve">NZEB and </w:t>
      </w:r>
      <w:r w:rsidR="00FA35D2" w:rsidRPr="00000176">
        <w:rPr>
          <w:rFonts w:ascii="Times New Roman" w:hAnsi="Times New Roman" w:cs="Times New Roman"/>
          <w:sz w:val="24"/>
          <w:szCs w:val="24"/>
        </w:rPr>
        <w:t>energy renovation</w:t>
      </w:r>
      <w:r w:rsidR="00FA35D2">
        <w:rPr>
          <w:rFonts w:ascii="Times New Roman" w:hAnsi="Times New Roman" w:cs="Times New Roman"/>
          <w:sz w:val="24"/>
          <w:szCs w:val="24"/>
        </w:rPr>
        <w:t>.</w:t>
      </w:r>
    </w:p>
    <w:p w14:paraId="0DC7C101" w14:textId="77777777" w:rsidR="00C8076F" w:rsidRPr="00000176" w:rsidRDefault="00C8076F" w:rsidP="00CE6267">
      <w:pPr>
        <w:pStyle w:val="ListParagraph"/>
        <w:spacing w:after="0"/>
        <w:ind w:left="360"/>
        <w:jc w:val="both"/>
        <w:rPr>
          <w:rFonts w:ascii="Times New Roman" w:hAnsi="Times New Roman" w:cs="Times New Roman"/>
          <w:sz w:val="24"/>
          <w:szCs w:val="24"/>
        </w:rPr>
      </w:pPr>
    </w:p>
    <w:p w14:paraId="135F55E3" w14:textId="77777777" w:rsidR="00465BEE" w:rsidRPr="00000176" w:rsidRDefault="001A3CDD" w:rsidP="00CE6267">
      <w:pPr>
        <w:pStyle w:val="Heading3"/>
        <w:spacing w:before="0" w:after="0" w:line="276" w:lineRule="auto"/>
        <w:rPr>
          <w:szCs w:val="24"/>
        </w:rPr>
      </w:pPr>
      <w:bookmarkStart w:id="24" w:name="_Toc523437047"/>
      <w:bookmarkStart w:id="25" w:name="_Toc523745738"/>
      <w:bookmarkStart w:id="26" w:name="_Toc524340591"/>
      <w:bookmarkEnd w:id="24"/>
      <w:bookmarkEnd w:id="25"/>
      <w:r w:rsidRPr="00000176">
        <w:rPr>
          <w:szCs w:val="24"/>
        </w:rPr>
        <w:t>Estimation of e</w:t>
      </w:r>
      <w:r w:rsidR="00465BEE" w:rsidRPr="00000176">
        <w:rPr>
          <w:szCs w:val="24"/>
        </w:rPr>
        <w:t>nergy savings</w:t>
      </w:r>
      <w:r w:rsidRPr="00000176">
        <w:rPr>
          <w:szCs w:val="24"/>
        </w:rPr>
        <w:t xml:space="preserve"> and wider benefits</w:t>
      </w:r>
      <w:r w:rsidR="00A81B3F" w:rsidRPr="00000176">
        <w:rPr>
          <w:szCs w:val="24"/>
        </w:rPr>
        <w:t xml:space="preserve"> </w:t>
      </w:r>
      <w:r w:rsidR="001B2CBE" w:rsidRPr="00000176">
        <w:rPr>
          <w:szCs w:val="24"/>
        </w:rPr>
        <w:t>(</w:t>
      </w:r>
      <w:r w:rsidR="00A81B3F" w:rsidRPr="00000176">
        <w:rPr>
          <w:szCs w:val="24"/>
        </w:rPr>
        <w:t>Article 2a(1)(g)</w:t>
      </w:r>
      <w:r w:rsidR="001B2CBE" w:rsidRPr="00000176">
        <w:rPr>
          <w:szCs w:val="24"/>
        </w:rPr>
        <w:t>)</w:t>
      </w:r>
      <w:bookmarkEnd w:id="26"/>
    </w:p>
    <w:p w14:paraId="4B6EA4C7" w14:textId="360E96D1" w:rsidR="00A81B3F" w:rsidRPr="00000176" w:rsidRDefault="00A81B3F" w:rsidP="00CE6267">
      <w:pPr>
        <w:spacing w:after="0"/>
        <w:jc w:val="both"/>
        <w:rPr>
          <w:rFonts w:ascii="Times New Roman" w:hAnsi="Times New Roman" w:cs="Times New Roman"/>
          <w:sz w:val="24"/>
          <w:szCs w:val="24"/>
          <w:lang w:eastAsia="fr-BE"/>
        </w:rPr>
      </w:pPr>
      <w:r w:rsidRPr="00000176">
        <w:rPr>
          <w:rFonts w:ascii="Times New Roman" w:hAnsi="Times New Roman" w:cs="Times New Roman"/>
          <w:sz w:val="24"/>
          <w:szCs w:val="24"/>
        </w:rPr>
        <w:t>Article 4(</w:t>
      </w:r>
      <w:r w:rsidR="0009796D" w:rsidRPr="00000176">
        <w:rPr>
          <w:rFonts w:ascii="Times New Roman" w:hAnsi="Times New Roman" w:cs="Times New Roman"/>
          <w:sz w:val="24"/>
          <w:szCs w:val="24"/>
        </w:rPr>
        <w:t>e</w:t>
      </w:r>
      <w:r w:rsidRPr="00000176">
        <w:rPr>
          <w:rFonts w:ascii="Times New Roman" w:hAnsi="Times New Roman" w:cs="Times New Roman"/>
          <w:sz w:val="24"/>
          <w:szCs w:val="24"/>
        </w:rPr>
        <w:t xml:space="preserve">) of the EED already provided that LTRS </w:t>
      </w:r>
      <w:r w:rsidR="00EC50C5" w:rsidRPr="00000176">
        <w:rPr>
          <w:rFonts w:ascii="Times New Roman" w:hAnsi="Times New Roman" w:cs="Times New Roman"/>
          <w:sz w:val="24"/>
          <w:szCs w:val="24"/>
        </w:rPr>
        <w:t xml:space="preserve">must </w:t>
      </w:r>
      <w:r w:rsidR="009948EA" w:rsidRPr="00000176">
        <w:rPr>
          <w:rFonts w:ascii="Times New Roman" w:hAnsi="Times New Roman" w:cs="Times New Roman"/>
          <w:sz w:val="24"/>
          <w:szCs w:val="24"/>
        </w:rPr>
        <w:t>provide an evidence-based estimate of expected energy savings and wider benefits.</w:t>
      </w:r>
      <w:r w:rsidR="00021537" w:rsidRPr="00000176">
        <w:rPr>
          <w:rFonts w:ascii="Times New Roman" w:hAnsi="Times New Roman" w:cs="Times New Roman"/>
          <w:sz w:val="24"/>
          <w:szCs w:val="24"/>
        </w:rPr>
        <w:t xml:space="preserve"> </w:t>
      </w:r>
    </w:p>
    <w:p w14:paraId="7DFD3C98" w14:textId="77777777" w:rsidR="007C6FF7" w:rsidRDefault="007C6FF7" w:rsidP="00CE6267">
      <w:pPr>
        <w:spacing w:after="0"/>
        <w:jc w:val="both"/>
        <w:rPr>
          <w:rFonts w:ascii="Times New Roman" w:hAnsi="Times New Roman" w:cs="Times New Roman"/>
          <w:sz w:val="24"/>
          <w:szCs w:val="24"/>
        </w:rPr>
      </w:pPr>
    </w:p>
    <w:p w14:paraId="6EB452C9" w14:textId="0FAB742F" w:rsidR="00A81B3F" w:rsidRDefault="00A81B3F"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Article 2a(1)(g) of the revised EPBD provides </w:t>
      </w:r>
      <w:r w:rsidR="0024701C" w:rsidRPr="00000176">
        <w:rPr>
          <w:rFonts w:ascii="Times New Roman" w:hAnsi="Times New Roman" w:cs="Times New Roman"/>
          <w:sz w:val="24"/>
          <w:szCs w:val="24"/>
        </w:rPr>
        <w:t xml:space="preserve">that LTRS </w:t>
      </w:r>
      <w:r w:rsidR="00E42A72" w:rsidRPr="00000176">
        <w:rPr>
          <w:rFonts w:ascii="Times New Roman" w:hAnsi="Times New Roman" w:cs="Times New Roman"/>
          <w:sz w:val="24"/>
          <w:szCs w:val="24"/>
        </w:rPr>
        <w:t xml:space="preserve">must </w:t>
      </w:r>
      <w:r w:rsidR="0024701C" w:rsidRPr="00000176">
        <w:rPr>
          <w:rFonts w:ascii="Times New Roman" w:hAnsi="Times New Roman" w:cs="Times New Roman"/>
          <w:sz w:val="24"/>
          <w:szCs w:val="24"/>
        </w:rPr>
        <w:t>encompass:</w:t>
      </w:r>
    </w:p>
    <w:p w14:paraId="67E958B6" w14:textId="77777777" w:rsidR="007C6FF7" w:rsidRPr="00000176" w:rsidRDefault="007C6FF7" w:rsidP="00CE6267">
      <w:pPr>
        <w:spacing w:after="0"/>
        <w:jc w:val="both"/>
        <w:rPr>
          <w:rFonts w:ascii="Times New Roman" w:hAnsi="Times New Roman" w:cs="Times New Roman"/>
          <w:sz w:val="24"/>
          <w:szCs w:val="24"/>
          <w:lang w:eastAsia="fr-BE"/>
        </w:rPr>
      </w:pPr>
    </w:p>
    <w:p w14:paraId="16D8E9D3" w14:textId="77777777" w:rsidR="00A81B3F" w:rsidRDefault="009948EA" w:rsidP="00CE6267">
      <w:pPr>
        <w:pStyle w:val="ListParagraph"/>
        <w:spacing w:after="0"/>
        <w:jc w:val="both"/>
        <w:rPr>
          <w:rFonts w:ascii="Times New Roman" w:hAnsi="Times New Roman" w:cs="Times New Roman"/>
          <w:b/>
          <w:i/>
          <w:sz w:val="24"/>
          <w:szCs w:val="24"/>
        </w:rPr>
      </w:pPr>
      <w:commentRangeStart w:id="27"/>
      <w:r w:rsidRPr="00000176">
        <w:rPr>
          <w:rFonts w:ascii="Times New Roman" w:hAnsi="Times New Roman" w:cs="Times New Roman"/>
          <w:sz w:val="24"/>
          <w:szCs w:val="24"/>
        </w:rPr>
        <w:t>an evidence-based estimate of expected energy savings and wider benefit</w:t>
      </w:r>
      <w:r w:rsidRPr="00000176">
        <w:rPr>
          <w:rFonts w:ascii="Times New Roman" w:hAnsi="Times New Roman" w:cs="Times New Roman"/>
          <w:b/>
          <w:sz w:val="24"/>
          <w:szCs w:val="24"/>
        </w:rPr>
        <w:t>s</w:t>
      </w:r>
      <w:r w:rsidRPr="00000176">
        <w:rPr>
          <w:rFonts w:ascii="Times New Roman" w:hAnsi="Times New Roman" w:cs="Times New Roman"/>
          <w:b/>
          <w:i/>
          <w:sz w:val="24"/>
          <w:szCs w:val="24"/>
        </w:rPr>
        <w:t>, such as those related to health, safety and air quality</w:t>
      </w:r>
      <w:r w:rsidR="00A81B3F" w:rsidRPr="00000176">
        <w:rPr>
          <w:rFonts w:ascii="Times New Roman" w:hAnsi="Times New Roman" w:cs="Times New Roman"/>
          <w:b/>
          <w:i/>
          <w:sz w:val="24"/>
          <w:szCs w:val="24"/>
        </w:rPr>
        <w:t xml:space="preserve">; </w:t>
      </w:r>
      <w:commentRangeEnd w:id="27"/>
      <w:r w:rsidR="00CF3EC9">
        <w:rPr>
          <w:rStyle w:val="CommentReference"/>
        </w:rPr>
        <w:commentReference w:id="27"/>
      </w:r>
    </w:p>
    <w:p w14:paraId="770A846F" w14:textId="77777777" w:rsidR="007C6FF7" w:rsidRPr="00000176" w:rsidRDefault="007C6FF7" w:rsidP="00CE6267">
      <w:pPr>
        <w:pStyle w:val="ListParagraph"/>
        <w:spacing w:after="0"/>
        <w:jc w:val="both"/>
        <w:rPr>
          <w:rFonts w:ascii="Times New Roman" w:hAnsi="Times New Roman" w:cs="Times New Roman"/>
          <w:b/>
          <w:sz w:val="24"/>
          <w:szCs w:val="24"/>
        </w:rPr>
      </w:pPr>
    </w:p>
    <w:p w14:paraId="7B0FEE9F" w14:textId="103B78C7" w:rsidR="007206D3" w:rsidRDefault="008E35B6"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The new provision </w:t>
      </w:r>
      <w:r w:rsidR="009948EA" w:rsidRPr="00000176">
        <w:rPr>
          <w:rFonts w:ascii="Times New Roman" w:hAnsi="Times New Roman" w:cs="Times New Roman"/>
          <w:sz w:val="24"/>
          <w:szCs w:val="24"/>
        </w:rPr>
        <w:t>provide</w:t>
      </w:r>
      <w:r w:rsidRPr="00000176">
        <w:rPr>
          <w:rFonts w:ascii="Times New Roman" w:hAnsi="Times New Roman" w:cs="Times New Roman"/>
          <w:sz w:val="24"/>
          <w:szCs w:val="24"/>
        </w:rPr>
        <w:t>s</w:t>
      </w:r>
      <w:r w:rsidR="009948EA" w:rsidRPr="00000176">
        <w:rPr>
          <w:rFonts w:ascii="Times New Roman" w:hAnsi="Times New Roman" w:cs="Times New Roman"/>
          <w:sz w:val="24"/>
          <w:szCs w:val="24"/>
        </w:rPr>
        <w:t xml:space="preserve"> a non-exhaustive clarification on the type of wider benefit</w:t>
      </w:r>
      <w:r w:rsidR="00651E69" w:rsidRPr="00000176">
        <w:rPr>
          <w:rFonts w:ascii="Times New Roman" w:hAnsi="Times New Roman" w:cs="Times New Roman"/>
          <w:sz w:val="24"/>
          <w:szCs w:val="24"/>
        </w:rPr>
        <w:t>s</w:t>
      </w:r>
      <w:r w:rsidR="009948EA" w:rsidRPr="00000176">
        <w:rPr>
          <w:rFonts w:ascii="Times New Roman" w:hAnsi="Times New Roman" w:cs="Times New Roman"/>
          <w:sz w:val="24"/>
          <w:szCs w:val="24"/>
        </w:rPr>
        <w:t xml:space="preserve"> that </w:t>
      </w:r>
      <w:r w:rsidR="00A81B3F" w:rsidRPr="00000176">
        <w:rPr>
          <w:rFonts w:ascii="Times New Roman" w:hAnsi="Times New Roman" w:cs="Times New Roman"/>
          <w:sz w:val="24"/>
          <w:szCs w:val="24"/>
        </w:rPr>
        <w:t xml:space="preserve">Member States' </w:t>
      </w:r>
      <w:r w:rsidR="009948EA" w:rsidRPr="00000176">
        <w:rPr>
          <w:rFonts w:ascii="Times New Roman" w:hAnsi="Times New Roman" w:cs="Times New Roman"/>
          <w:sz w:val="24"/>
          <w:szCs w:val="24"/>
        </w:rPr>
        <w:t>LTRS should evaluate.</w:t>
      </w:r>
      <w:r w:rsidR="00A81B3F" w:rsidRPr="00000176">
        <w:rPr>
          <w:rFonts w:ascii="Times New Roman" w:hAnsi="Times New Roman" w:cs="Times New Roman"/>
          <w:sz w:val="24"/>
          <w:szCs w:val="24"/>
        </w:rPr>
        <w:t xml:space="preserve"> </w:t>
      </w:r>
      <w:r w:rsidRPr="00000176">
        <w:rPr>
          <w:rFonts w:ascii="Times New Roman" w:hAnsi="Times New Roman" w:cs="Times New Roman"/>
          <w:sz w:val="24"/>
          <w:szCs w:val="24"/>
        </w:rPr>
        <w:t>M</w:t>
      </w:r>
      <w:r w:rsidR="007206D3" w:rsidRPr="00000176">
        <w:rPr>
          <w:rFonts w:ascii="Times New Roman" w:hAnsi="Times New Roman" w:cs="Times New Roman"/>
          <w:sz w:val="24"/>
          <w:szCs w:val="24"/>
        </w:rPr>
        <w:t>easure</w:t>
      </w:r>
      <w:r w:rsidRPr="00000176">
        <w:rPr>
          <w:rFonts w:ascii="Times New Roman" w:hAnsi="Times New Roman" w:cs="Times New Roman"/>
          <w:sz w:val="24"/>
          <w:szCs w:val="24"/>
        </w:rPr>
        <w:t>s</w:t>
      </w:r>
      <w:r w:rsidR="007206D3" w:rsidRPr="00000176">
        <w:rPr>
          <w:rFonts w:ascii="Times New Roman" w:hAnsi="Times New Roman" w:cs="Times New Roman"/>
          <w:sz w:val="24"/>
          <w:szCs w:val="24"/>
        </w:rPr>
        <w:t xml:space="preserve"> </w:t>
      </w:r>
      <w:r w:rsidRPr="00000176">
        <w:rPr>
          <w:rFonts w:ascii="Times New Roman" w:hAnsi="Times New Roman" w:cs="Times New Roman"/>
          <w:sz w:val="24"/>
          <w:szCs w:val="24"/>
        </w:rPr>
        <w:t xml:space="preserve">to </w:t>
      </w:r>
      <w:r w:rsidR="007206D3" w:rsidRPr="00000176">
        <w:rPr>
          <w:rFonts w:ascii="Times New Roman" w:hAnsi="Times New Roman" w:cs="Times New Roman"/>
          <w:sz w:val="24"/>
          <w:szCs w:val="24"/>
        </w:rPr>
        <w:t>address energy performance</w:t>
      </w:r>
      <w:r w:rsidRPr="00000176">
        <w:rPr>
          <w:rFonts w:ascii="Times New Roman" w:hAnsi="Times New Roman" w:cs="Times New Roman"/>
          <w:sz w:val="24"/>
          <w:szCs w:val="24"/>
        </w:rPr>
        <w:t xml:space="preserve"> can</w:t>
      </w:r>
      <w:r w:rsidR="007206D3" w:rsidRPr="00000176">
        <w:rPr>
          <w:rFonts w:ascii="Times New Roman" w:hAnsi="Times New Roman" w:cs="Times New Roman"/>
          <w:sz w:val="24"/>
          <w:szCs w:val="24"/>
        </w:rPr>
        <w:t xml:space="preserve"> also contribute to achieving a healthy indoor environment. Measures </w:t>
      </w:r>
      <w:r w:rsidR="00944E7A">
        <w:rPr>
          <w:rFonts w:ascii="Times New Roman" w:hAnsi="Times New Roman" w:cs="Times New Roman"/>
          <w:sz w:val="24"/>
          <w:szCs w:val="24"/>
        </w:rPr>
        <w:t>sh</w:t>
      </w:r>
      <w:r w:rsidR="00944E7A" w:rsidRPr="00000176">
        <w:rPr>
          <w:rFonts w:ascii="Times New Roman" w:hAnsi="Times New Roman" w:cs="Times New Roman"/>
          <w:sz w:val="24"/>
          <w:szCs w:val="24"/>
        </w:rPr>
        <w:t xml:space="preserve">ould </w:t>
      </w:r>
      <w:r w:rsidR="007206D3" w:rsidRPr="00000176">
        <w:rPr>
          <w:rFonts w:ascii="Times New Roman" w:hAnsi="Times New Roman" w:cs="Times New Roman"/>
          <w:sz w:val="24"/>
          <w:szCs w:val="24"/>
        </w:rPr>
        <w:t xml:space="preserve">aim to prevent illegal removal of harmful substances and </w:t>
      </w:r>
      <w:proofErr w:type="spellStart"/>
      <w:r w:rsidR="007206D3" w:rsidRPr="00000176">
        <w:rPr>
          <w:rFonts w:ascii="Times New Roman" w:hAnsi="Times New Roman" w:cs="Times New Roman"/>
          <w:sz w:val="24"/>
          <w:szCs w:val="24"/>
        </w:rPr>
        <w:t>facilite</w:t>
      </w:r>
      <w:proofErr w:type="spellEnd"/>
      <w:r w:rsidR="007206D3" w:rsidRPr="00000176">
        <w:rPr>
          <w:rFonts w:ascii="Times New Roman" w:hAnsi="Times New Roman" w:cs="Times New Roman"/>
          <w:sz w:val="24"/>
          <w:szCs w:val="24"/>
        </w:rPr>
        <w:t xml:space="preserve"> compliance with legislation relating to working conditions, health and safety, and emissions,</w:t>
      </w:r>
      <w:r w:rsidR="00695D6B" w:rsidRPr="00000176">
        <w:rPr>
          <w:rStyle w:val="FootnoteReference"/>
          <w:rFonts w:ascii="Times New Roman" w:hAnsi="Times New Roman" w:cs="Times New Roman"/>
          <w:sz w:val="24"/>
          <w:szCs w:val="24"/>
        </w:rPr>
        <w:footnoteReference w:id="17"/>
      </w:r>
      <w:r w:rsidR="007206D3" w:rsidRPr="00000176">
        <w:rPr>
          <w:rFonts w:ascii="Times New Roman" w:hAnsi="Times New Roman" w:cs="Times New Roman"/>
          <w:sz w:val="24"/>
          <w:szCs w:val="24"/>
        </w:rPr>
        <w:t xml:space="preserve"> as well as facilitate higher comfort levels and well-being for occupants </w:t>
      </w:r>
      <w:commentRangeStart w:id="28"/>
      <w:r w:rsidR="007206D3" w:rsidRPr="00000176">
        <w:rPr>
          <w:rFonts w:ascii="Times New Roman" w:hAnsi="Times New Roman" w:cs="Times New Roman"/>
          <w:sz w:val="24"/>
          <w:szCs w:val="24"/>
        </w:rPr>
        <w:t>notably by ensuring complete and homogenous insulation which is crucial for indoor air quality, as provided in 2009 World Health Organisation guidelines</w:t>
      </w:r>
      <w:commentRangeEnd w:id="28"/>
      <w:r w:rsidR="00CF3EC9">
        <w:rPr>
          <w:rStyle w:val="CommentReference"/>
        </w:rPr>
        <w:commentReference w:id="28"/>
      </w:r>
      <w:r w:rsidR="007206D3" w:rsidRPr="00000176">
        <w:rPr>
          <w:rFonts w:ascii="Times New Roman" w:hAnsi="Times New Roman" w:cs="Times New Roman"/>
          <w:sz w:val="24"/>
          <w:szCs w:val="24"/>
        </w:rPr>
        <w:t>.</w:t>
      </w:r>
      <w:r w:rsidR="005D2263" w:rsidRPr="00000176">
        <w:rPr>
          <w:rStyle w:val="FootnoteReference"/>
          <w:rFonts w:ascii="Times New Roman" w:hAnsi="Times New Roman" w:cs="Times New Roman"/>
          <w:sz w:val="24"/>
          <w:szCs w:val="24"/>
        </w:rPr>
        <w:footnoteReference w:id="18"/>
      </w:r>
    </w:p>
    <w:p w14:paraId="5495148D" w14:textId="77777777" w:rsidR="004732C8" w:rsidRDefault="004732C8" w:rsidP="00CE6267">
      <w:pPr>
        <w:spacing w:after="0"/>
        <w:jc w:val="both"/>
        <w:rPr>
          <w:rFonts w:ascii="Times New Roman" w:hAnsi="Times New Roman" w:cs="Times New Roman"/>
          <w:sz w:val="24"/>
          <w:szCs w:val="24"/>
        </w:rPr>
      </w:pPr>
    </w:p>
    <w:p w14:paraId="41569A04" w14:textId="0252A18A" w:rsidR="00465BEE" w:rsidRPr="00000176" w:rsidRDefault="00B122D9" w:rsidP="00CE6267">
      <w:pPr>
        <w:pStyle w:val="Heading2"/>
        <w:spacing w:before="0" w:after="0" w:line="276" w:lineRule="auto"/>
        <w:contextualSpacing/>
        <w:rPr>
          <w:szCs w:val="24"/>
        </w:rPr>
      </w:pPr>
      <w:bookmarkStart w:id="29" w:name="_Toc523745740"/>
      <w:bookmarkStart w:id="30" w:name="_Toc524340592"/>
      <w:bookmarkEnd w:id="29"/>
      <w:r>
        <w:rPr>
          <w:szCs w:val="24"/>
        </w:rPr>
        <w:t>Set out a r</w:t>
      </w:r>
      <w:r w:rsidR="00465BEE" w:rsidRPr="00000176">
        <w:rPr>
          <w:szCs w:val="24"/>
        </w:rPr>
        <w:t>oadmap (Article 2</w:t>
      </w:r>
      <w:proofErr w:type="gramStart"/>
      <w:r w:rsidR="00465BEE" w:rsidRPr="00000176">
        <w:rPr>
          <w:szCs w:val="24"/>
        </w:rPr>
        <w:t>a(</w:t>
      </w:r>
      <w:proofErr w:type="gramEnd"/>
      <w:r w:rsidR="00465BEE" w:rsidRPr="00000176">
        <w:rPr>
          <w:szCs w:val="24"/>
        </w:rPr>
        <w:t>2))</w:t>
      </w:r>
      <w:bookmarkEnd w:id="30"/>
    </w:p>
    <w:p w14:paraId="325F62E5" w14:textId="2244443A" w:rsidR="00607551" w:rsidRDefault="00607551"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Article 2</w:t>
      </w:r>
      <w:proofErr w:type="gramStart"/>
      <w:r w:rsidRPr="00000176">
        <w:rPr>
          <w:rFonts w:ascii="Times New Roman" w:hAnsi="Times New Roman" w:cs="Times New Roman"/>
          <w:sz w:val="24"/>
          <w:szCs w:val="24"/>
        </w:rPr>
        <w:t>a(</w:t>
      </w:r>
      <w:proofErr w:type="gramEnd"/>
      <w:r w:rsidRPr="00000176">
        <w:rPr>
          <w:rFonts w:ascii="Times New Roman" w:hAnsi="Times New Roman" w:cs="Times New Roman"/>
          <w:sz w:val="24"/>
          <w:szCs w:val="24"/>
        </w:rPr>
        <w:t xml:space="preserve">2) of the revised EPBD provides that LTRS </w:t>
      </w:r>
      <w:r w:rsidR="005A5ADC">
        <w:rPr>
          <w:rFonts w:ascii="Times New Roman" w:hAnsi="Times New Roman" w:cs="Times New Roman"/>
          <w:sz w:val="24"/>
          <w:szCs w:val="24"/>
        </w:rPr>
        <w:t>must</w:t>
      </w:r>
      <w:r w:rsidR="005A5ADC" w:rsidRPr="00000176">
        <w:rPr>
          <w:rFonts w:ascii="Times New Roman" w:hAnsi="Times New Roman" w:cs="Times New Roman"/>
          <w:sz w:val="24"/>
          <w:szCs w:val="24"/>
        </w:rPr>
        <w:t xml:space="preserve"> </w:t>
      </w:r>
      <w:r w:rsidRPr="00000176">
        <w:rPr>
          <w:rFonts w:ascii="Times New Roman" w:hAnsi="Times New Roman" w:cs="Times New Roman"/>
          <w:sz w:val="24"/>
          <w:szCs w:val="24"/>
        </w:rPr>
        <w:t xml:space="preserve">include a roadmap </w:t>
      </w:r>
      <w:r w:rsidR="00594177" w:rsidRPr="00000176">
        <w:rPr>
          <w:rFonts w:ascii="Times New Roman" w:hAnsi="Times New Roman" w:cs="Times New Roman"/>
          <w:sz w:val="24"/>
          <w:szCs w:val="24"/>
        </w:rPr>
        <w:t>which is comprised of</w:t>
      </w:r>
      <w:r w:rsidRPr="00000176">
        <w:rPr>
          <w:rFonts w:ascii="Times New Roman" w:hAnsi="Times New Roman" w:cs="Times New Roman"/>
          <w:sz w:val="24"/>
          <w:szCs w:val="24"/>
        </w:rPr>
        <w:t xml:space="preserve"> measurable progress indicators and milestones:</w:t>
      </w:r>
    </w:p>
    <w:p w14:paraId="3190292D" w14:textId="77777777" w:rsidR="00B16FD9" w:rsidRPr="00000176" w:rsidRDefault="00B16FD9" w:rsidP="00CE6267">
      <w:pPr>
        <w:spacing w:after="0"/>
        <w:jc w:val="both"/>
        <w:rPr>
          <w:rFonts w:ascii="Times New Roman" w:hAnsi="Times New Roman" w:cs="Times New Roman"/>
          <w:sz w:val="24"/>
          <w:szCs w:val="24"/>
          <w:lang w:eastAsia="fr-BE"/>
        </w:rPr>
      </w:pPr>
    </w:p>
    <w:p w14:paraId="6E9C7539" w14:textId="08DE4ADF" w:rsidR="00424530" w:rsidRDefault="00854073" w:rsidP="00CE6267">
      <w:pPr>
        <w:spacing w:after="0"/>
        <w:ind w:left="360"/>
        <w:jc w:val="both"/>
        <w:rPr>
          <w:rFonts w:ascii="Times New Roman" w:hAnsi="Times New Roman" w:cs="Times New Roman"/>
          <w:b/>
          <w:i/>
          <w:sz w:val="24"/>
          <w:szCs w:val="24"/>
        </w:rPr>
      </w:pPr>
      <w:r w:rsidRPr="00944E7A">
        <w:rPr>
          <w:rFonts w:ascii="Times New Roman" w:hAnsi="Times New Roman" w:cs="Times New Roman"/>
          <w:b/>
          <w:i/>
          <w:sz w:val="24"/>
          <w:szCs w:val="24"/>
        </w:rPr>
        <w:t xml:space="preserve">In its long-term renovation strategy, each Member State shall set out a roadmap with measures and domestically established measurable progress indicators, with a view to the long-term 2050 goal of reducing greenhouse gas emissions in the Union by 80-95  % compared to 1990, in order to ensure a highly energy efficient and decarbonised national building stock and in order to facilitate the cost-effective transformation of existing buildings into nearly-zero-energy buildings. The roadmap shall include indicative milestones for 2030, 2040 and 2050, and specify how they contribute to achieving the Union's energy efficiency targets in accordance with Directive 2012/27/EU. </w:t>
      </w:r>
    </w:p>
    <w:p w14:paraId="028883C9" w14:textId="77777777" w:rsidR="00B16FD9" w:rsidRDefault="00B16FD9" w:rsidP="00CE6267">
      <w:pPr>
        <w:spacing w:after="0"/>
        <w:ind w:left="360"/>
        <w:jc w:val="both"/>
      </w:pPr>
    </w:p>
    <w:p w14:paraId="3D416671" w14:textId="77777777" w:rsidR="00B122D9" w:rsidRDefault="00B122D9" w:rsidP="00CE6267">
      <w:pPr>
        <w:pStyle w:val="Default"/>
        <w:contextualSpacing/>
        <w:jc w:val="both"/>
        <w:rPr>
          <w:rFonts w:ascii="Times New Roman" w:hAnsi="Times New Roman" w:cs="Times New Roman"/>
        </w:rPr>
      </w:pPr>
      <w:r w:rsidRPr="00997F09">
        <w:rPr>
          <w:rFonts w:ascii="Times New Roman" w:hAnsi="Times New Roman" w:cs="Times New Roman"/>
        </w:rPr>
        <w:t xml:space="preserve">Underpinning the LTRS is the objective of achieving a fully decarbonised building stock –essential to delivering on the EU goal of reducing greenhouse gas emissions. A decarbonised building stock is not defined in EU legislation but can be </w:t>
      </w:r>
      <w:proofErr w:type="spellStart"/>
      <w:r w:rsidRPr="00997F09">
        <w:rPr>
          <w:rFonts w:ascii="Times New Roman" w:hAnsi="Times New Roman" w:cs="Times New Roman"/>
        </w:rPr>
        <w:t>considerd</w:t>
      </w:r>
      <w:proofErr w:type="spellEnd"/>
      <w:r w:rsidRPr="00997F09">
        <w:rPr>
          <w:rFonts w:ascii="Times New Roman" w:hAnsi="Times New Roman" w:cs="Times New Roman"/>
        </w:rPr>
        <w:t xml:space="preserve"> as a building stock whose carbon emissions have been reduced to zero or below, both through reducing energy needs and by ensuring that remaining energy needs are met to the extent possible from zero-carbon</w:t>
      </w:r>
      <w:r w:rsidRPr="00000176">
        <w:rPr>
          <w:rFonts w:ascii="Times New Roman" w:hAnsi="Times New Roman" w:cs="Times New Roman"/>
        </w:rPr>
        <w:t xml:space="preserve"> sources. This approach allows various routes to decarbonisation, </w:t>
      </w:r>
      <w:proofErr w:type="gramStart"/>
      <w:r w:rsidRPr="00000176">
        <w:rPr>
          <w:rFonts w:ascii="Times New Roman" w:hAnsi="Times New Roman" w:cs="Times New Roman"/>
        </w:rPr>
        <w:t>taking into account</w:t>
      </w:r>
      <w:proofErr w:type="gramEnd"/>
      <w:r w:rsidRPr="00000176">
        <w:rPr>
          <w:rFonts w:ascii="Times New Roman" w:hAnsi="Times New Roman" w:cs="Times New Roman"/>
        </w:rPr>
        <w:t xml:space="preserve"> the national energy mix, preferences, potential and characteristics of each Member State. </w:t>
      </w:r>
    </w:p>
    <w:p w14:paraId="57DCA297" w14:textId="77777777" w:rsidR="00B122D9" w:rsidRDefault="00B122D9" w:rsidP="00CE6267">
      <w:pPr>
        <w:pStyle w:val="Default"/>
        <w:contextualSpacing/>
        <w:jc w:val="both"/>
        <w:rPr>
          <w:rFonts w:ascii="Times New Roman" w:hAnsi="Times New Roman" w:cs="Times New Roman"/>
        </w:rPr>
      </w:pPr>
    </w:p>
    <w:p w14:paraId="7073C793" w14:textId="77777777" w:rsidR="005D2343" w:rsidRPr="00000176" w:rsidRDefault="005D2343" w:rsidP="00CE6267">
      <w:pPr>
        <w:pStyle w:val="Default"/>
        <w:spacing w:line="276" w:lineRule="auto"/>
        <w:contextualSpacing/>
        <w:jc w:val="both"/>
        <w:rPr>
          <w:rFonts w:ascii="Times New Roman" w:hAnsi="Times New Roman" w:cs="Times New Roman"/>
        </w:rPr>
      </w:pPr>
      <w:r w:rsidRPr="00000176">
        <w:rPr>
          <w:rFonts w:ascii="Times New Roman" w:hAnsi="Times New Roman" w:cs="Times New Roman"/>
        </w:rPr>
        <w:t>As the strategies aim at having a "long-term" vision, Member States should go beyond a simple inventory of the existing measures, providing, a vision/roadmap on the evolution of future policies and measures and specific measures / policies: for instance, on refurbishment obligations, or incentives to demolition-reconstruction. The roadmap framework in the new Article 2a seeks to achieve this.</w:t>
      </w:r>
    </w:p>
    <w:p w14:paraId="263420C9" w14:textId="77777777" w:rsidR="00EA3472" w:rsidRDefault="00EA3472" w:rsidP="00CE6267">
      <w:pPr>
        <w:pStyle w:val="Default"/>
        <w:jc w:val="both"/>
        <w:rPr>
          <w:rFonts w:ascii="Times New Roman" w:hAnsi="Times New Roman" w:cs="Times New Roman"/>
        </w:rPr>
      </w:pPr>
    </w:p>
    <w:p w14:paraId="04D7D0D5" w14:textId="77777777" w:rsidR="00D70A25" w:rsidRDefault="003104B5" w:rsidP="00CE6267">
      <w:pPr>
        <w:pStyle w:val="Default"/>
        <w:jc w:val="both"/>
        <w:rPr>
          <w:rFonts w:ascii="Times New Roman" w:hAnsi="Times New Roman" w:cs="Times New Roman"/>
        </w:rPr>
      </w:pPr>
      <w:r w:rsidRPr="00000176">
        <w:rPr>
          <w:rFonts w:ascii="Times New Roman" w:hAnsi="Times New Roman" w:cs="Times New Roman"/>
        </w:rPr>
        <w:t xml:space="preserve">Roadmaps </w:t>
      </w:r>
      <w:r w:rsidR="00E42A72" w:rsidRPr="00000176">
        <w:rPr>
          <w:rFonts w:ascii="Times New Roman" w:hAnsi="Times New Roman" w:cs="Times New Roman"/>
        </w:rPr>
        <w:t xml:space="preserve">must </w:t>
      </w:r>
      <w:r w:rsidRPr="00000176">
        <w:rPr>
          <w:rFonts w:ascii="Times New Roman" w:hAnsi="Times New Roman" w:cs="Times New Roman"/>
        </w:rPr>
        <w:t>be</w:t>
      </w:r>
      <w:r w:rsidR="00187276" w:rsidRPr="00000176">
        <w:rPr>
          <w:rFonts w:ascii="Times New Roman" w:hAnsi="Times New Roman" w:cs="Times New Roman"/>
        </w:rPr>
        <w:t xml:space="preserve"> comprised of </w:t>
      </w:r>
      <w:r w:rsidR="00187276" w:rsidRPr="00000176">
        <w:rPr>
          <w:rFonts w:ascii="Times New Roman" w:hAnsi="Times New Roman" w:cs="Times New Roman"/>
          <w:b/>
        </w:rPr>
        <w:t>indicative milestones</w:t>
      </w:r>
      <w:r w:rsidR="00187276" w:rsidRPr="00000176">
        <w:rPr>
          <w:rFonts w:ascii="Times New Roman" w:hAnsi="Times New Roman" w:cs="Times New Roman"/>
        </w:rPr>
        <w:t xml:space="preserve"> and </w:t>
      </w:r>
      <w:r w:rsidR="00187276" w:rsidRPr="00000176">
        <w:rPr>
          <w:rFonts w:ascii="Times New Roman" w:hAnsi="Times New Roman" w:cs="Times New Roman"/>
          <w:b/>
        </w:rPr>
        <w:t>measurable indicators</w:t>
      </w:r>
      <w:r w:rsidR="00187276" w:rsidRPr="00000176">
        <w:rPr>
          <w:rFonts w:ascii="Times New Roman" w:hAnsi="Times New Roman" w:cs="Times New Roman"/>
        </w:rPr>
        <w:t>.</w:t>
      </w:r>
      <w:r w:rsidR="00BE1618">
        <w:rPr>
          <w:rFonts w:ascii="Times New Roman" w:hAnsi="Times New Roman" w:cs="Times New Roman"/>
        </w:rPr>
        <w:t xml:space="preserve"> </w:t>
      </w:r>
      <w:r w:rsidR="00D0640D" w:rsidRPr="00000176">
        <w:rPr>
          <w:rFonts w:ascii="Times New Roman" w:hAnsi="Times New Roman" w:cs="Times New Roman"/>
        </w:rPr>
        <w:t xml:space="preserve">Member States </w:t>
      </w:r>
      <w:r w:rsidR="00E162C6">
        <w:rPr>
          <w:rFonts w:ascii="Times New Roman" w:hAnsi="Times New Roman" w:cs="Times New Roman"/>
        </w:rPr>
        <w:t>can tailor their milestones and indicators to</w:t>
      </w:r>
      <w:r w:rsidR="00D0640D" w:rsidRPr="00000176">
        <w:rPr>
          <w:rFonts w:ascii="Times New Roman" w:hAnsi="Times New Roman" w:cs="Times New Roman"/>
        </w:rPr>
        <w:t xml:space="preserve"> the specificities </w:t>
      </w:r>
      <w:r w:rsidR="00E162C6">
        <w:rPr>
          <w:rFonts w:ascii="Times New Roman" w:hAnsi="Times New Roman" w:cs="Times New Roman"/>
        </w:rPr>
        <w:t>of their</w:t>
      </w:r>
      <w:r w:rsidR="00D0640D" w:rsidRPr="00000176">
        <w:rPr>
          <w:rFonts w:ascii="Times New Roman" w:hAnsi="Times New Roman" w:cs="Times New Roman"/>
        </w:rPr>
        <w:t xml:space="preserve"> Member State.</w:t>
      </w:r>
      <w:r w:rsidR="00496197">
        <w:rPr>
          <w:rFonts w:ascii="Times New Roman" w:hAnsi="Times New Roman" w:cs="Times New Roman"/>
          <w:b/>
        </w:rPr>
        <w:t xml:space="preserve"> </w:t>
      </w:r>
      <w:r w:rsidRPr="0038168D">
        <w:rPr>
          <w:rFonts w:ascii="Times New Roman" w:hAnsi="Times New Roman" w:cs="Times New Roman"/>
          <w:b/>
        </w:rPr>
        <w:t>I</w:t>
      </w:r>
      <w:r w:rsidR="00187276" w:rsidRPr="0038168D">
        <w:rPr>
          <w:rFonts w:ascii="Times New Roman" w:hAnsi="Times New Roman" w:cs="Times New Roman"/>
          <w:b/>
        </w:rPr>
        <w:t>ndicative milestones</w:t>
      </w:r>
      <w:r w:rsidR="00187276" w:rsidRPr="0038168D">
        <w:rPr>
          <w:rFonts w:ascii="Times New Roman" w:hAnsi="Times New Roman" w:cs="Times New Roman"/>
        </w:rPr>
        <w:t xml:space="preserve"> </w:t>
      </w:r>
      <w:r w:rsidR="00D0640D" w:rsidRPr="0038168D">
        <w:rPr>
          <w:rFonts w:ascii="Times New Roman" w:hAnsi="Times New Roman" w:cs="Times New Roman"/>
        </w:rPr>
        <w:t>could relate to</w:t>
      </w:r>
      <w:r w:rsidRPr="0038168D">
        <w:rPr>
          <w:rFonts w:ascii="Times New Roman" w:hAnsi="Times New Roman" w:cs="Times New Roman"/>
        </w:rPr>
        <w:t xml:space="preserve">: </w:t>
      </w:r>
    </w:p>
    <w:p w14:paraId="2B4FFD0A" w14:textId="667337EB" w:rsidR="001F39F0" w:rsidRPr="005D32E4" w:rsidRDefault="001F39F0" w:rsidP="00CE6267">
      <w:pPr>
        <w:pStyle w:val="Default"/>
        <w:jc w:val="both"/>
        <w:rPr>
          <w:rFonts w:ascii="Times New Roman" w:hAnsi="Times New Roman" w:cs="Times New Roman"/>
          <w:i/>
        </w:rPr>
      </w:pPr>
      <w:r w:rsidRPr="005D32E4">
        <w:rPr>
          <w:rFonts w:ascii="Times New Roman" w:hAnsi="Times New Roman" w:cs="Times New Roman"/>
          <w:i/>
        </w:rPr>
        <w:t xml:space="preserve">[to be completed] </w:t>
      </w:r>
    </w:p>
    <w:p w14:paraId="082EE0C3" w14:textId="77777777" w:rsidR="001F39F0" w:rsidRDefault="001F39F0" w:rsidP="00CE6267">
      <w:pPr>
        <w:spacing w:after="0"/>
        <w:contextualSpacing/>
        <w:jc w:val="both"/>
        <w:rPr>
          <w:rFonts w:ascii="Times New Roman" w:hAnsi="Times New Roman" w:cs="Times New Roman"/>
          <w:sz w:val="24"/>
          <w:szCs w:val="24"/>
          <w:highlight w:val="yellow"/>
        </w:rPr>
      </w:pPr>
      <w:r w:rsidRPr="001F39F0" w:rsidDel="001F39F0">
        <w:rPr>
          <w:rFonts w:ascii="Times New Roman" w:hAnsi="Times New Roman" w:cs="Times New Roman"/>
          <w:sz w:val="24"/>
          <w:szCs w:val="24"/>
          <w:highlight w:val="yellow"/>
        </w:rPr>
        <w:t xml:space="preserve"> </w:t>
      </w:r>
    </w:p>
    <w:p w14:paraId="4ABECF12" w14:textId="175BBCCC" w:rsidR="00653A23" w:rsidRDefault="009D6EAC" w:rsidP="00CE6267">
      <w:pPr>
        <w:spacing w:after="0"/>
        <w:contextualSpacing/>
        <w:jc w:val="both"/>
        <w:rPr>
          <w:rFonts w:ascii="Times New Roman" w:hAnsi="Times New Roman" w:cs="Times New Roman"/>
          <w:sz w:val="24"/>
          <w:szCs w:val="24"/>
        </w:rPr>
      </w:pPr>
      <w:r w:rsidRPr="00000176">
        <w:rPr>
          <w:rFonts w:ascii="Times New Roman" w:hAnsi="Times New Roman" w:cs="Times New Roman"/>
          <w:sz w:val="24"/>
          <w:szCs w:val="24"/>
        </w:rPr>
        <w:t>U</w:t>
      </w:r>
      <w:r w:rsidR="00020F08" w:rsidRPr="00000176">
        <w:rPr>
          <w:rFonts w:ascii="Times New Roman" w:hAnsi="Times New Roman" w:cs="Times New Roman"/>
          <w:sz w:val="24"/>
          <w:szCs w:val="24"/>
        </w:rPr>
        <w:t xml:space="preserve">nder the revised EPBD, </w:t>
      </w:r>
      <w:r w:rsidRPr="00000176">
        <w:rPr>
          <w:rFonts w:ascii="Times New Roman" w:hAnsi="Times New Roman" w:cs="Times New Roman"/>
          <w:sz w:val="24"/>
          <w:szCs w:val="24"/>
        </w:rPr>
        <w:t xml:space="preserve">Member States </w:t>
      </w:r>
      <w:r w:rsidR="00BE1618">
        <w:rPr>
          <w:rFonts w:ascii="Times New Roman" w:hAnsi="Times New Roman" w:cs="Times New Roman"/>
          <w:sz w:val="24"/>
          <w:szCs w:val="24"/>
        </w:rPr>
        <w:t>must</w:t>
      </w:r>
      <w:r w:rsidR="00BE1618" w:rsidRPr="00000176">
        <w:rPr>
          <w:rFonts w:ascii="Times New Roman" w:hAnsi="Times New Roman" w:cs="Times New Roman"/>
          <w:sz w:val="24"/>
          <w:szCs w:val="24"/>
        </w:rPr>
        <w:t xml:space="preserve"> </w:t>
      </w:r>
      <w:r w:rsidR="00020F08" w:rsidRPr="00000176">
        <w:rPr>
          <w:rFonts w:ascii="Times New Roman" w:hAnsi="Times New Roman" w:cs="Times New Roman"/>
          <w:sz w:val="24"/>
          <w:szCs w:val="24"/>
        </w:rPr>
        <w:t xml:space="preserve">specify how </w:t>
      </w:r>
      <w:r w:rsidRPr="00000176">
        <w:rPr>
          <w:rFonts w:ascii="Times New Roman" w:hAnsi="Times New Roman" w:cs="Times New Roman"/>
          <w:sz w:val="24"/>
          <w:szCs w:val="24"/>
        </w:rPr>
        <w:t>milestones for 2030, 2040 and 2050 will</w:t>
      </w:r>
      <w:r w:rsidR="00465BEE" w:rsidRPr="00000176">
        <w:rPr>
          <w:rFonts w:ascii="Times New Roman" w:hAnsi="Times New Roman" w:cs="Times New Roman"/>
          <w:sz w:val="24"/>
          <w:szCs w:val="24"/>
        </w:rPr>
        <w:t xml:space="preserve"> contribute to achieving</w:t>
      </w:r>
      <w:r w:rsidR="00020F08" w:rsidRPr="00000176">
        <w:rPr>
          <w:rFonts w:ascii="Times New Roman" w:hAnsi="Times New Roman" w:cs="Times New Roman"/>
          <w:sz w:val="24"/>
          <w:szCs w:val="24"/>
        </w:rPr>
        <w:t xml:space="preserve"> the Union's energy efficiency targets of the EED. </w:t>
      </w:r>
      <w:r w:rsidRPr="00000176">
        <w:rPr>
          <w:rFonts w:ascii="Times New Roman" w:hAnsi="Times New Roman" w:cs="Times New Roman"/>
          <w:sz w:val="24"/>
          <w:szCs w:val="24"/>
        </w:rPr>
        <w:t>T</w:t>
      </w:r>
      <w:r w:rsidR="00020F08" w:rsidRPr="00000176">
        <w:rPr>
          <w:rFonts w:ascii="Times New Roman" w:hAnsi="Times New Roman" w:cs="Times New Roman"/>
          <w:sz w:val="24"/>
          <w:szCs w:val="24"/>
        </w:rPr>
        <w:t xml:space="preserve">he intention </w:t>
      </w:r>
      <w:r w:rsidR="00653A23" w:rsidRPr="00000176">
        <w:rPr>
          <w:rFonts w:ascii="Times New Roman" w:hAnsi="Times New Roman" w:cs="Times New Roman"/>
          <w:sz w:val="24"/>
          <w:szCs w:val="24"/>
        </w:rPr>
        <w:t xml:space="preserve">of this provision </w:t>
      </w:r>
      <w:r w:rsidR="00020F08" w:rsidRPr="00000176">
        <w:rPr>
          <w:rFonts w:ascii="Times New Roman" w:hAnsi="Times New Roman" w:cs="Times New Roman"/>
          <w:sz w:val="24"/>
          <w:szCs w:val="24"/>
        </w:rPr>
        <w:t xml:space="preserve">is not to introduce a sectoral target for the building sector. </w:t>
      </w:r>
      <w:r w:rsidR="00653A23" w:rsidRPr="00000176">
        <w:rPr>
          <w:rFonts w:ascii="Times New Roman" w:hAnsi="Times New Roman" w:cs="Times New Roman"/>
          <w:sz w:val="24"/>
          <w:szCs w:val="24"/>
        </w:rPr>
        <w:t>It is for Member States to define the goals, and it is only Member States who can decide to make such goal binding for the building</w:t>
      </w:r>
      <w:r w:rsidR="00020F08" w:rsidRPr="00000176">
        <w:rPr>
          <w:rFonts w:ascii="Times New Roman" w:hAnsi="Times New Roman" w:cs="Times New Roman"/>
          <w:sz w:val="24"/>
          <w:szCs w:val="24"/>
        </w:rPr>
        <w:t xml:space="preserve"> sector</w:t>
      </w:r>
      <w:r w:rsidRPr="00000176">
        <w:rPr>
          <w:rFonts w:ascii="Times New Roman" w:hAnsi="Times New Roman" w:cs="Times New Roman"/>
          <w:sz w:val="24"/>
          <w:szCs w:val="24"/>
        </w:rPr>
        <w:t xml:space="preserve"> (thus going beyond obligations in the revised Directive)</w:t>
      </w:r>
      <w:r w:rsidR="00653A23" w:rsidRPr="00000176">
        <w:rPr>
          <w:rFonts w:ascii="Times New Roman" w:hAnsi="Times New Roman" w:cs="Times New Roman"/>
          <w:sz w:val="24"/>
          <w:szCs w:val="24"/>
        </w:rPr>
        <w:t xml:space="preserve">. </w:t>
      </w:r>
    </w:p>
    <w:p w14:paraId="3D8180F2" w14:textId="77777777" w:rsidR="00D8216D" w:rsidRPr="00000176" w:rsidRDefault="00D8216D" w:rsidP="00CE6267">
      <w:pPr>
        <w:spacing w:after="0"/>
        <w:contextualSpacing/>
        <w:jc w:val="both"/>
        <w:rPr>
          <w:rFonts w:ascii="Times New Roman" w:hAnsi="Times New Roman" w:cs="Times New Roman"/>
          <w:sz w:val="24"/>
          <w:szCs w:val="24"/>
        </w:rPr>
      </w:pPr>
    </w:p>
    <w:p w14:paraId="151AD509" w14:textId="532F1218" w:rsidR="00314FEF" w:rsidRDefault="00653A23" w:rsidP="00CE6267">
      <w:pPr>
        <w:spacing w:after="0"/>
        <w:contextualSpacing/>
        <w:jc w:val="both"/>
        <w:rPr>
          <w:rFonts w:ascii="Times New Roman" w:hAnsi="Times New Roman" w:cs="Times New Roman"/>
          <w:sz w:val="24"/>
          <w:szCs w:val="24"/>
        </w:rPr>
      </w:pPr>
      <w:r w:rsidRPr="00000176">
        <w:rPr>
          <w:rFonts w:ascii="Times New Roman" w:hAnsi="Times New Roman" w:cs="Times New Roman"/>
          <w:sz w:val="24"/>
          <w:szCs w:val="24"/>
        </w:rPr>
        <w:t xml:space="preserve">However, it is </w:t>
      </w:r>
      <w:proofErr w:type="spellStart"/>
      <w:r w:rsidR="005625A5" w:rsidRPr="00000176">
        <w:rPr>
          <w:rFonts w:ascii="Times New Roman" w:hAnsi="Times New Roman" w:cs="Times New Roman"/>
          <w:sz w:val="24"/>
          <w:szCs w:val="24"/>
        </w:rPr>
        <w:t>is</w:t>
      </w:r>
      <w:proofErr w:type="spellEnd"/>
      <w:r w:rsidR="005625A5" w:rsidRPr="00000176">
        <w:rPr>
          <w:rFonts w:ascii="Times New Roman" w:hAnsi="Times New Roman" w:cs="Times New Roman"/>
          <w:sz w:val="24"/>
          <w:szCs w:val="24"/>
        </w:rPr>
        <w:t xml:space="preserve"> necessary to estimate the contribution of renovation </w:t>
      </w:r>
      <w:r w:rsidR="00F4177C" w:rsidRPr="00000176">
        <w:rPr>
          <w:rFonts w:ascii="Times New Roman" w:hAnsi="Times New Roman" w:cs="Times New Roman"/>
          <w:sz w:val="24"/>
          <w:szCs w:val="24"/>
        </w:rPr>
        <w:t xml:space="preserve">to </w:t>
      </w:r>
      <w:r w:rsidR="005625A5" w:rsidRPr="00000176">
        <w:rPr>
          <w:rFonts w:ascii="Times New Roman" w:hAnsi="Times New Roman" w:cs="Times New Roman"/>
          <w:sz w:val="24"/>
          <w:szCs w:val="24"/>
        </w:rPr>
        <w:t xml:space="preserve">achieving </w:t>
      </w:r>
      <w:r w:rsidR="005D32E4">
        <w:rPr>
          <w:rFonts w:ascii="Times New Roman" w:hAnsi="Times New Roman" w:cs="Times New Roman"/>
          <w:sz w:val="24"/>
          <w:szCs w:val="24"/>
        </w:rPr>
        <w:t xml:space="preserve">the </w:t>
      </w:r>
      <w:r w:rsidR="005625A5" w:rsidRPr="00000176">
        <w:rPr>
          <w:rFonts w:ascii="Times New Roman" w:hAnsi="Times New Roman" w:cs="Times New Roman"/>
          <w:sz w:val="24"/>
          <w:szCs w:val="24"/>
        </w:rPr>
        <w:t>EED</w:t>
      </w:r>
      <w:r w:rsidR="005D32E4">
        <w:rPr>
          <w:rFonts w:ascii="Times New Roman" w:hAnsi="Times New Roman" w:cs="Times New Roman"/>
          <w:sz w:val="24"/>
          <w:szCs w:val="24"/>
        </w:rPr>
        <w:t xml:space="preserve"> headline</w:t>
      </w:r>
      <w:r w:rsidR="005625A5" w:rsidRPr="00000176">
        <w:rPr>
          <w:rFonts w:ascii="Times New Roman" w:hAnsi="Times New Roman" w:cs="Times New Roman"/>
          <w:sz w:val="24"/>
          <w:szCs w:val="24"/>
        </w:rPr>
        <w:t xml:space="preserve"> </w:t>
      </w:r>
      <w:proofErr w:type="spellStart"/>
      <w:proofErr w:type="gramStart"/>
      <w:r w:rsidRPr="00000176">
        <w:rPr>
          <w:rFonts w:ascii="Times New Roman" w:hAnsi="Times New Roman" w:cs="Times New Roman"/>
          <w:sz w:val="24"/>
          <w:szCs w:val="24"/>
        </w:rPr>
        <w:t>target,of</w:t>
      </w:r>
      <w:proofErr w:type="spellEnd"/>
      <w:proofErr w:type="gramEnd"/>
      <w:r w:rsidRPr="00000176">
        <w:rPr>
          <w:rFonts w:ascii="Times New Roman" w:hAnsi="Times New Roman" w:cs="Times New Roman"/>
          <w:sz w:val="24"/>
          <w:szCs w:val="24"/>
        </w:rPr>
        <w:t xml:space="preserve"> Article 3</w:t>
      </w:r>
      <w:r w:rsidR="005D32E4">
        <w:rPr>
          <w:rFonts w:ascii="Times New Roman" w:hAnsi="Times New Roman" w:cs="Times New Roman"/>
          <w:sz w:val="24"/>
          <w:szCs w:val="24"/>
        </w:rPr>
        <w:t>, s</w:t>
      </w:r>
      <w:r w:rsidRPr="00000176">
        <w:rPr>
          <w:rFonts w:ascii="Times New Roman" w:hAnsi="Times New Roman" w:cs="Times New Roman"/>
          <w:sz w:val="24"/>
          <w:szCs w:val="24"/>
        </w:rPr>
        <w:t>ince buildings are one of the most crucial pil</w:t>
      </w:r>
      <w:r w:rsidR="000132AC" w:rsidRPr="00000176">
        <w:rPr>
          <w:rFonts w:ascii="Times New Roman" w:hAnsi="Times New Roman" w:cs="Times New Roman"/>
          <w:sz w:val="24"/>
          <w:szCs w:val="24"/>
        </w:rPr>
        <w:t>l</w:t>
      </w:r>
      <w:r w:rsidRPr="00000176">
        <w:rPr>
          <w:rFonts w:ascii="Times New Roman" w:hAnsi="Times New Roman" w:cs="Times New Roman"/>
          <w:sz w:val="24"/>
          <w:szCs w:val="24"/>
        </w:rPr>
        <w:t>ars of the energy efficiency policy</w:t>
      </w:r>
      <w:r w:rsidR="005D32E4">
        <w:rPr>
          <w:rFonts w:ascii="Times New Roman" w:hAnsi="Times New Roman" w:cs="Times New Roman"/>
          <w:sz w:val="24"/>
          <w:szCs w:val="24"/>
        </w:rPr>
        <w:t>. T</w:t>
      </w:r>
      <w:r w:rsidR="00244BC0" w:rsidRPr="00000176">
        <w:rPr>
          <w:rFonts w:ascii="Times New Roman" w:hAnsi="Times New Roman" w:cs="Times New Roman"/>
          <w:sz w:val="24"/>
          <w:szCs w:val="24"/>
        </w:rPr>
        <w:t>his information would help policy makers to shape the future energy efficiency policies and design the appropriate measures.</w:t>
      </w:r>
    </w:p>
    <w:p w14:paraId="5E5B8BD5" w14:textId="77777777" w:rsidR="00BE1618" w:rsidRPr="00000176" w:rsidRDefault="00BE1618" w:rsidP="00CE6267">
      <w:pPr>
        <w:spacing w:after="0"/>
        <w:contextualSpacing/>
        <w:jc w:val="both"/>
        <w:rPr>
          <w:rFonts w:ascii="Times New Roman" w:hAnsi="Times New Roman" w:cs="Times New Roman"/>
          <w:sz w:val="24"/>
          <w:szCs w:val="24"/>
        </w:rPr>
      </w:pPr>
    </w:p>
    <w:p w14:paraId="4E704821" w14:textId="4FD5FDFB" w:rsidR="00BE1618" w:rsidRDefault="008F0944" w:rsidP="00CE6267">
      <w:pPr>
        <w:spacing w:after="0"/>
        <w:contextualSpacing/>
        <w:jc w:val="both"/>
        <w:rPr>
          <w:rFonts w:ascii="Times New Roman" w:hAnsi="Times New Roman" w:cs="Times New Roman"/>
          <w:sz w:val="24"/>
          <w:szCs w:val="24"/>
          <w:highlight w:val="yellow"/>
        </w:rPr>
      </w:pPr>
      <w:proofErr w:type="gramStart"/>
      <w:r w:rsidRPr="00000176">
        <w:rPr>
          <w:rFonts w:ascii="Times New Roman" w:hAnsi="Times New Roman" w:cs="Times New Roman"/>
          <w:sz w:val="24"/>
          <w:szCs w:val="24"/>
        </w:rPr>
        <w:lastRenderedPageBreak/>
        <w:t>In order to</w:t>
      </w:r>
      <w:proofErr w:type="gramEnd"/>
      <w:r w:rsidRPr="00000176">
        <w:rPr>
          <w:rFonts w:ascii="Times New Roman" w:hAnsi="Times New Roman" w:cs="Times New Roman"/>
          <w:sz w:val="24"/>
          <w:szCs w:val="24"/>
        </w:rPr>
        <w:t xml:space="preserve"> assess progress in implementation of the LTRS, Member States </w:t>
      </w:r>
      <w:r w:rsidR="00E42A72" w:rsidRPr="00000176">
        <w:rPr>
          <w:rFonts w:ascii="Times New Roman" w:hAnsi="Times New Roman" w:cs="Times New Roman"/>
          <w:sz w:val="24"/>
          <w:szCs w:val="24"/>
        </w:rPr>
        <w:t xml:space="preserve">must </w:t>
      </w:r>
      <w:r w:rsidRPr="00000176">
        <w:rPr>
          <w:rFonts w:ascii="Times New Roman" w:hAnsi="Times New Roman" w:cs="Times New Roman"/>
          <w:sz w:val="24"/>
          <w:szCs w:val="24"/>
        </w:rPr>
        <w:t xml:space="preserve">define </w:t>
      </w:r>
      <w:r w:rsidRPr="00000176">
        <w:rPr>
          <w:rFonts w:ascii="Times New Roman" w:hAnsi="Times New Roman" w:cs="Times New Roman"/>
          <w:b/>
          <w:sz w:val="24"/>
          <w:szCs w:val="24"/>
        </w:rPr>
        <w:t>m</w:t>
      </w:r>
      <w:r w:rsidR="000F09B2" w:rsidRPr="00000176">
        <w:rPr>
          <w:rFonts w:ascii="Times New Roman" w:hAnsi="Times New Roman" w:cs="Times New Roman"/>
          <w:b/>
          <w:sz w:val="24"/>
          <w:szCs w:val="24"/>
        </w:rPr>
        <w:t>easurable indicators</w:t>
      </w:r>
      <w:r w:rsidRPr="00000176">
        <w:rPr>
          <w:rFonts w:ascii="Times New Roman" w:hAnsi="Times New Roman" w:cs="Times New Roman"/>
          <w:sz w:val="24"/>
          <w:szCs w:val="24"/>
        </w:rPr>
        <w:t>. The availability over the period of the LTRS of reliable data is a major factor in determining such indicators. They could include for example:</w:t>
      </w:r>
    </w:p>
    <w:p w14:paraId="6ABCF9EB" w14:textId="77777777" w:rsidR="00BE1618" w:rsidRDefault="00BE1618" w:rsidP="00CE6267">
      <w:pPr>
        <w:spacing w:after="0"/>
        <w:contextualSpacing/>
        <w:jc w:val="both"/>
        <w:rPr>
          <w:rFonts w:ascii="Times New Roman" w:hAnsi="Times New Roman" w:cs="Times New Roman"/>
          <w:i/>
          <w:sz w:val="24"/>
          <w:szCs w:val="24"/>
        </w:rPr>
      </w:pPr>
      <w:r w:rsidRPr="005D32E4">
        <w:rPr>
          <w:rFonts w:ascii="Times New Roman" w:hAnsi="Times New Roman" w:cs="Times New Roman"/>
          <w:i/>
          <w:sz w:val="24"/>
          <w:szCs w:val="24"/>
        </w:rPr>
        <w:t xml:space="preserve">[to be completed] </w:t>
      </w:r>
    </w:p>
    <w:p w14:paraId="4A3460BA" w14:textId="77777777" w:rsidR="00B16FD9" w:rsidRDefault="00B16FD9" w:rsidP="00CE6267">
      <w:pPr>
        <w:spacing w:after="0"/>
        <w:contextualSpacing/>
        <w:jc w:val="both"/>
        <w:rPr>
          <w:rFonts w:ascii="Times New Roman" w:hAnsi="Times New Roman" w:cs="Times New Roman"/>
          <w:i/>
          <w:sz w:val="24"/>
          <w:szCs w:val="24"/>
        </w:rPr>
      </w:pPr>
    </w:p>
    <w:p w14:paraId="46565FC9" w14:textId="6F6C1906" w:rsidR="00B122D9" w:rsidRDefault="00B122D9" w:rsidP="00CE6267">
      <w:pPr>
        <w:pStyle w:val="Heading2"/>
        <w:spacing w:before="0" w:after="0" w:line="276" w:lineRule="auto"/>
        <w:contextualSpacing/>
        <w:rPr>
          <w:szCs w:val="24"/>
        </w:rPr>
      </w:pPr>
      <w:bookmarkStart w:id="31" w:name="_Toc523745742"/>
      <w:bookmarkStart w:id="32" w:name="_Toc523437050"/>
      <w:bookmarkStart w:id="33" w:name="_Toc523745743"/>
      <w:bookmarkStart w:id="34" w:name="_Toc523437051"/>
      <w:bookmarkStart w:id="35" w:name="_Toc523745744"/>
      <w:bookmarkStart w:id="36" w:name="_Toc523437052"/>
      <w:bookmarkStart w:id="37" w:name="_Toc523745745"/>
      <w:bookmarkStart w:id="38" w:name="_Toc523437053"/>
      <w:bookmarkStart w:id="39" w:name="_Toc523745746"/>
      <w:bookmarkStart w:id="40" w:name="_Toc523437054"/>
      <w:bookmarkStart w:id="41" w:name="_Toc523745747"/>
      <w:bookmarkStart w:id="42" w:name="_Toc523437055"/>
      <w:bookmarkStart w:id="43" w:name="_Toc523745748"/>
      <w:bookmarkStart w:id="44" w:name="_Toc523437056"/>
      <w:bookmarkStart w:id="45" w:name="_Toc523745749"/>
      <w:bookmarkStart w:id="46" w:name="_Toc523437057"/>
      <w:bookmarkStart w:id="47" w:name="_Toc523745750"/>
      <w:bookmarkStart w:id="48" w:name="_Toc523437058"/>
      <w:bookmarkStart w:id="49" w:name="_Toc523745751"/>
      <w:bookmarkStart w:id="50" w:name="_Toc523437059"/>
      <w:bookmarkStart w:id="51" w:name="_Toc523745752"/>
      <w:bookmarkStart w:id="52" w:name="_Toc52434059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szCs w:val="24"/>
        </w:rPr>
        <w:t>Carry out a public consultation and monitor implementation</w:t>
      </w:r>
      <w:bookmarkEnd w:id="52"/>
      <w:r>
        <w:rPr>
          <w:szCs w:val="24"/>
        </w:rPr>
        <w:t xml:space="preserve"> </w:t>
      </w:r>
    </w:p>
    <w:p w14:paraId="195AC529" w14:textId="77777777" w:rsidR="00177B4B" w:rsidRDefault="002A6224" w:rsidP="00CE6267">
      <w:pPr>
        <w:spacing w:after="0"/>
        <w:contextualSpacing/>
        <w:jc w:val="both"/>
        <w:rPr>
          <w:rFonts w:ascii="Times New Roman" w:hAnsi="Times New Roman" w:cs="Times New Roman"/>
          <w:sz w:val="24"/>
          <w:szCs w:val="24"/>
        </w:rPr>
      </w:pPr>
      <w:r w:rsidRPr="00000176">
        <w:rPr>
          <w:rFonts w:ascii="Times New Roman" w:hAnsi="Times New Roman" w:cs="Times New Roman"/>
          <w:sz w:val="24"/>
          <w:szCs w:val="24"/>
        </w:rPr>
        <w:t>According to Article 2</w:t>
      </w:r>
      <w:proofErr w:type="gramStart"/>
      <w:r w:rsidRPr="00000176">
        <w:rPr>
          <w:rFonts w:ascii="Times New Roman" w:hAnsi="Times New Roman" w:cs="Times New Roman"/>
          <w:sz w:val="24"/>
          <w:szCs w:val="24"/>
        </w:rPr>
        <w:t>a(</w:t>
      </w:r>
      <w:proofErr w:type="gramEnd"/>
      <w:r w:rsidR="003A6B7D" w:rsidRPr="00000176">
        <w:rPr>
          <w:rFonts w:ascii="Times New Roman" w:hAnsi="Times New Roman" w:cs="Times New Roman"/>
          <w:sz w:val="24"/>
          <w:szCs w:val="24"/>
        </w:rPr>
        <w:t>5</w:t>
      </w:r>
      <w:r w:rsidR="00291C16" w:rsidRPr="00000176">
        <w:rPr>
          <w:rFonts w:ascii="Times New Roman" w:hAnsi="Times New Roman" w:cs="Times New Roman"/>
          <w:sz w:val="24"/>
          <w:szCs w:val="24"/>
        </w:rPr>
        <w:t>):</w:t>
      </w:r>
    </w:p>
    <w:p w14:paraId="566FADF1" w14:textId="77777777" w:rsidR="00B16FD9" w:rsidRPr="00000176" w:rsidRDefault="00B16FD9" w:rsidP="00CE6267">
      <w:pPr>
        <w:spacing w:after="0"/>
        <w:contextualSpacing/>
        <w:jc w:val="both"/>
        <w:rPr>
          <w:rFonts w:ascii="Times New Roman" w:hAnsi="Times New Roman" w:cs="Times New Roman"/>
          <w:sz w:val="24"/>
          <w:szCs w:val="24"/>
        </w:rPr>
      </w:pPr>
    </w:p>
    <w:p w14:paraId="4A4A627A" w14:textId="77777777" w:rsidR="003A6B7D" w:rsidRPr="00C61C2C" w:rsidRDefault="003A6B7D" w:rsidP="00CE6267">
      <w:pPr>
        <w:spacing w:after="0"/>
        <w:ind w:left="720"/>
        <w:contextualSpacing/>
        <w:jc w:val="both"/>
        <w:rPr>
          <w:rFonts w:ascii="Times New Roman" w:hAnsi="Times New Roman" w:cs="Times New Roman"/>
          <w:b/>
          <w:i/>
          <w:sz w:val="24"/>
          <w:szCs w:val="24"/>
        </w:rPr>
      </w:pPr>
      <w:bookmarkStart w:id="53" w:name="_DV_C223"/>
      <w:r w:rsidRPr="00C61C2C">
        <w:rPr>
          <w:rFonts w:ascii="Times New Roman" w:hAnsi="Times New Roman" w:cs="Times New Roman"/>
          <w:b/>
          <w:i/>
          <w:sz w:val="24"/>
          <w:szCs w:val="24"/>
        </w:rPr>
        <w:t>To support the development of its long-term renovation strategy, each Member State shall carry out a public consultation on its long-term renovation strategy prior to submitting it to the Commission. Each Member State shall annex a summary of the results of its public consultation to its long-term renovation strategy.</w:t>
      </w:r>
      <w:bookmarkEnd w:id="53"/>
    </w:p>
    <w:p w14:paraId="22B0BF15" w14:textId="77777777" w:rsidR="003A6B7D" w:rsidRPr="00C61C2C" w:rsidRDefault="003A6B7D" w:rsidP="00CE6267">
      <w:pPr>
        <w:spacing w:after="0"/>
        <w:ind w:left="720"/>
        <w:contextualSpacing/>
        <w:jc w:val="both"/>
        <w:rPr>
          <w:rFonts w:ascii="Times New Roman" w:hAnsi="Times New Roman" w:cs="Times New Roman"/>
          <w:b/>
          <w:i/>
          <w:sz w:val="24"/>
          <w:szCs w:val="24"/>
        </w:rPr>
      </w:pPr>
      <w:r w:rsidRPr="00C61C2C">
        <w:rPr>
          <w:rFonts w:ascii="Times New Roman" w:hAnsi="Times New Roman" w:cs="Times New Roman"/>
          <w:b/>
          <w:i/>
          <w:sz w:val="24"/>
          <w:szCs w:val="24"/>
        </w:rPr>
        <w:t>Each Member State shall establish the modalities for consultation in an inclusive way during the implementation of its long-term renovation strategy.</w:t>
      </w:r>
    </w:p>
    <w:p w14:paraId="6DD589AB" w14:textId="77777777" w:rsidR="00496197" w:rsidRDefault="00496197" w:rsidP="00CE6267">
      <w:pPr>
        <w:spacing w:after="0"/>
        <w:jc w:val="both"/>
        <w:rPr>
          <w:rFonts w:ascii="Times New Roman" w:hAnsi="Times New Roman" w:cs="Times New Roman"/>
          <w:sz w:val="24"/>
          <w:szCs w:val="24"/>
        </w:rPr>
      </w:pPr>
    </w:p>
    <w:p w14:paraId="4F57EF51" w14:textId="77777777" w:rsidR="000A3AE1" w:rsidRDefault="000A3AE1"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Member States may already have in place consultation procedures for the development of major policy or legislative initiatives which could be applied in the case of the elaboration of an LTRS. </w:t>
      </w:r>
    </w:p>
    <w:p w14:paraId="1570D663" w14:textId="77777777" w:rsidR="00B16FD9" w:rsidRDefault="00B16FD9" w:rsidP="00CE6267">
      <w:pPr>
        <w:spacing w:after="0"/>
        <w:jc w:val="both"/>
        <w:rPr>
          <w:rFonts w:ascii="Times New Roman" w:hAnsi="Times New Roman" w:cs="Times New Roman"/>
          <w:sz w:val="24"/>
          <w:szCs w:val="24"/>
        </w:rPr>
      </w:pPr>
    </w:p>
    <w:p w14:paraId="48145602" w14:textId="77777777" w:rsidR="004D421F" w:rsidRDefault="004D421F" w:rsidP="00CE6267">
      <w:pPr>
        <w:spacing w:after="0"/>
        <w:jc w:val="both"/>
        <w:rPr>
          <w:rFonts w:ascii="Times New Roman" w:hAnsi="Times New Roman" w:cs="Times New Roman"/>
          <w:sz w:val="24"/>
          <w:szCs w:val="24"/>
        </w:rPr>
      </w:pPr>
      <w:r w:rsidRPr="000646B8">
        <w:rPr>
          <w:rFonts w:ascii="Times New Roman" w:hAnsi="Times New Roman" w:cs="Times New Roman"/>
          <w:sz w:val="24"/>
          <w:szCs w:val="24"/>
        </w:rPr>
        <w:t>Under the Governance Regulation</w:t>
      </w:r>
      <w:r>
        <w:rPr>
          <w:rFonts w:ascii="Times New Roman" w:hAnsi="Times New Roman" w:cs="Times New Roman"/>
          <w:sz w:val="24"/>
          <w:szCs w:val="24"/>
        </w:rPr>
        <w:t>,</w:t>
      </w:r>
      <w:r w:rsidRPr="000646B8">
        <w:rPr>
          <w:rFonts w:ascii="Times New Roman" w:hAnsi="Times New Roman" w:cs="Times New Roman"/>
          <w:sz w:val="24"/>
          <w:szCs w:val="24"/>
        </w:rPr>
        <w:t xml:space="preserve"> Member States are also required to have a public consultation procedure in place </w:t>
      </w:r>
      <w:proofErr w:type="gramStart"/>
      <w:r w:rsidRPr="000646B8">
        <w:rPr>
          <w:rFonts w:ascii="Times New Roman" w:hAnsi="Times New Roman" w:cs="Times New Roman"/>
          <w:sz w:val="24"/>
          <w:szCs w:val="24"/>
        </w:rPr>
        <w:t>for the purpose of</w:t>
      </w:r>
      <w:proofErr w:type="gramEnd"/>
      <w:r w:rsidRPr="000646B8">
        <w:rPr>
          <w:rFonts w:ascii="Times New Roman" w:hAnsi="Times New Roman" w:cs="Times New Roman"/>
          <w:sz w:val="24"/>
          <w:szCs w:val="24"/>
        </w:rPr>
        <w:t xml:space="preserve"> </w:t>
      </w:r>
      <w:r>
        <w:rPr>
          <w:rFonts w:ascii="Times New Roman" w:hAnsi="Times New Roman" w:cs="Times New Roman"/>
          <w:sz w:val="24"/>
          <w:szCs w:val="24"/>
        </w:rPr>
        <w:t xml:space="preserve">preparing the draft and </w:t>
      </w:r>
      <w:r w:rsidRPr="00E728E6">
        <w:rPr>
          <w:rFonts w:ascii="Times New Roman" w:hAnsi="Times New Roman" w:cs="Times New Roman"/>
          <w:sz w:val="24"/>
          <w:szCs w:val="24"/>
        </w:rPr>
        <w:t xml:space="preserve">final Integrated </w:t>
      </w:r>
      <w:r>
        <w:rPr>
          <w:rFonts w:ascii="Times New Roman" w:hAnsi="Times New Roman" w:cs="Times New Roman"/>
          <w:sz w:val="24"/>
          <w:szCs w:val="24"/>
        </w:rPr>
        <w:t>National Energy and C</w:t>
      </w:r>
      <w:r w:rsidRPr="00E728E6">
        <w:rPr>
          <w:rFonts w:ascii="Times New Roman" w:hAnsi="Times New Roman" w:cs="Times New Roman"/>
          <w:sz w:val="24"/>
          <w:szCs w:val="24"/>
        </w:rPr>
        <w:t>limate</w:t>
      </w:r>
      <w:r>
        <w:rPr>
          <w:rFonts w:ascii="Times New Roman" w:hAnsi="Times New Roman" w:cs="Times New Roman"/>
          <w:sz w:val="24"/>
          <w:szCs w:val="24"/>
        </w:rPr>
        <w:t xml:space="preserve"> </w:t>
      </w:r>
      <w:r w:rsidRPr="00E728E6">
        <w:rPr>
          <w:rFonts w:ascii="Times New Roman" w:hAnsi="Times New Roman" w:cs="Times New Roman"/>
          <w:sz w:val="24"/>
          <w:szCs w:val="24"/>
        </w:rPr>
        <w:t xml:space="preserve">plans </w:t>
      </w:r>
      <w:r>
        <w:rPr>
          <w:rFonts w:ascii="Times New Roman" w:hAnsi="Times New Roman" w:cs="Times New Roman"/>
          <w:sz w:val="24"/>
          <w:szCs w:val="24"/>
        </w:rPr>
        <w:t>(INECP)</w:t>
      </w:r>
      <w:r w:rsidRPr="00E728E6">
        <w:rPr>
          <w:rFonts w:ascii="Times New Roman" w:hAnsi="Times New Roman" w:cs="Times New Roman"/>
          <w:sz w:val="24"/>
          <w:szCs w:val="24"/>
        </w:rPr>
        <w:t xml:space="preserve"> well before their adoption</w:t>
      </w:r>
      <w:r>
        <w:rPr>
          <w:rFonts w:ascii="Times New Roman" w:hAnsi="Times New Roman" w:cs="Times New Roman"/>
          <w:sz w:val="24"/>
          <w:szCs w:val="24"/>
        </w:rPr>
        <w:t>, w</w:t>
      </w:r>
      <w:r w:rsidRPr="00E728E6">
        <w:rPr>
          <w:rFonts w:ascii="Times New Roman" w:hAnsi="Times New Roman" w:cs="Times New Roman"/>
          <w:sz w:val="24"/>
          <w:szCs w:val="24"/>
        </w:rPr>
        <w:t xml:space="preserve">ithout prejudice to any other Union </w:t>
      </w:r>
      <w:r>
        <w:rPr>
          <w:rFonts w:ascii="Times New Roman" w:hAnsi="Times New Roman" w:cs="Times New Roman"/>
          <w:sz w:val="24"/>
          <w:szCs w:val="24"/>
        </w:rPr>
        <w:t>law requirements.</w:t>
      </w:r>
    </w:p>
    <w:p w14:paraId="24DD53A8" w14:textId="77777777" w:rsidR="00B16FD9" w:rsidRDefault="00B16FD9" w:rsidP="00CE6267">
      <w:pPr>
        <w:spacing w:after="0"/>
        <w:jc w:val="both"/>
        <w:rPr>
          <w:rFonts w:ascii="Times New Roman" w:hAnsi="Times New Roman" w:cs="Times New Roman"/>
          <w:sz w:val="24"/>
          <w:szCs w:val="24"/>
        </w:rPr>
      </w:pPr>
    </w:p>
    <w:p w14:paraId="7EC88EA4" w14:textId="2EA0A2D6" w:rsidR="000A3AE1" w:rsidRPr="00000176" w:rsidRDefault="000A3AE1"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Article 2</w:t>
      </w:r>
      <w:proofErr w:type="gramStart"/>
      <w:r w:rsidRPr="00000176">
        <w:rPr>
          <w:rFonts w:ascii="Times New Roman" w:hAnsi="Times New Roman" w:cs="Times New Roman"/>
          <w:sz w:val="24"/>
          <w:szCs w:val="24"/>
        </w:rPr>
        <w:t>a(</w:t>
      </w:r>
      <w:proofErr w:type="gramEnd"/>
      <w:r w:rsidRPr="00000176">
        <w:rPr>
          <w:rFonts w:ascii="Times New Roman" w:hAnsi="Times New Roman" w:cs="Times New Roman"/>
          <w:sz w:val="24"/>
          <w:szCs w:val="24"/>
        </w:rPr>
        <w:t xml:space="preserve">5) </w:t>
      </w:r>
      <w:r w:rsidR="004D421F">
        <w:rPr>
          <w:rFonts w:ascii="Times New Roman" w:hAnsi="Times New Roman" w:cs="Times New Roman"/>
          <w:sz w:val="24"/>
          <w:szCs w:val="24"/>
        </w:rPr>
        <w:t xml:space="preserve">of the revised EPBD </w:t>
      </w:r>
      <w:r w:rsidRPr="00000176">
        <w:rPr>
          <w:rFonts w:ascii="Times New Roman" w:hAnsi="Times New Roman" w:cs="Times New Roman"/>
          <w:sz w:val="24"/>
          <w:szCs w:val="24"/>
        </w:rPr>
        <w:t xml:space="preserve">leaves the door open </w:t>
      </w:r>
      <w:r w:rsidR="004D421F">
        <w:rPr>
          <w:rFonts w:ascii="Times New Roman" w:hAnsi="Times New Roman" w:cs="Times New Roman"/>
          <w:sz w:val="24"/>
          <w:szCs w:val="24"/>
        </w:rPr>
        <w:t>as regards the</w:t>
      </w:r>
      <w:r w:rsidRPr="00000176">
        <w:rPr>
          <w:rFonts w:ascii="Times New Roman" w:hAnsi="Times New Roman" w:cs="Times New Roman"/>
          <w:sz w:val="24"/>
          <w:szCs w:val="24"/>
        </w:rPr>
        <w:t xml:space="preserve"> consultation </w:t>
      </w:r>
      <w:r w:rsidR="004D421F">
        <w:rPr>
          <w:rFonts w:ascii="Times New Roman" w:hAnsi="Times New Roman" w:cs="Times New Roman"/>
          <w:sz w:val="24"/>
          <w:szCs w:val="24"/>
        </w:rPr>
        <w:t>format</w:t>
      </w:r>
      <w:r w:rsidRPr="00000176">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000176">
        <w:rPr>
          <w:rFonts w:ascii="Times New Roman" w:hAnsi="Times New Roman" w:cs="Times New Roman"/>
          <w:sz w:val="24"/>
          <w:szCs w:val="24"/>
        </w:rPr>
        <w:t>open or targeted) and method (</w:t>
      </w:r>
      <w:r>
        <w:rPr>
          <w:rFonts w:ascii="Times New Roman" w:hAnsi="Times New Roman" w:cs="Times New Roman"/>
          <w:sz w:val="24"/>
          <w:szCs w:val="24"/>
        </w:rPr>
        <w:t xml:space="preserve">e.g. </w:t>
      </w:r>
      <w:r w:rsidRPr="00000176">
        <w:rPr>
          <w:rFonts w:ascii="Times New Roman" w:hAnsi="Times New Roman" w:cs="Times New Roman"/>
          <w:sz w:val="24"/>
          <w:szCs w:val="24"/>
        </w:rPr>
        <w:t xml:space="preserve">face-to-face meetings/events, written </w:t>
      </w:r>
      <w:r w:rsidR="004D421F">
        <w:rPr>
          <w:rFonts w:ascii="Times New Roman" w:hAnsi="Times New Roman" w:cs="Times New Roman"/>
          <w:sz w:val="24"/>
          <w:szCs w:val="24"/>
        </w:rPr>
        <w:t>submissions</w:t>
      </w:r>
      <w:r w:rsidRPr="00000176">
        <w:rPr>
          <w:rFonts w:ascii="Times New Roman" w:hAnsi="Times New Roman" w:cs="Times New Roman"/>
          <w:sz w:val="24"/>
          <w:szCs w:val="24"/>
        </w:rPr>
        <w:t xml:space="preserve"> or internet-based</w:t>
      </w:r>
      <w:r w:rsidR="004D421F">
        <w:rPr>
          <w:rFonts w:ascii="Times New Roman" w:hAnsi="Times New Roman" w:cs="Times New Roman"/>
          <w:sz w:val="24"/>
          <w:szCs w:val="24"/>
        </w:rPr>
        <w:t xml:space="preserve"> questionnaire</w:t>
      </w:r>
      <w:r w:rsidRPr="00000176">
        <w:rPr>
          <w:rFonts w:ascii="Times New Roman" w:hAnsi="Times New Roman" w:cs="Times New Roman"/>
          <w:sz w:val="24"/>
          <w:szCs w:val="24"/>
        </w:rPr>
        <w:t>).</w:t>
      </w:r>
    </w:p>
    <w:p w14:paraId="59DF16A4" w14:textId="77777777" w:rsidR="00B16FD9" w:rsidRDefault="00B16FD9" w:rsidP="00CE6267">
      <w:pPr>
        <w:spacing w:after="0"/>
        <w:jc w:val="both"/>
        <w:rPr>
          <w:rFonts w:ascii="Times New Roman" w:hAnsi="Times New Roman" w:cs="Times New Roman"/>
          <w:sz w:val="24"/>
          <w:szCs w:val="24"/>
        </w:rPr>
      </w:pPr>
    </w:p>
    <w:p w14:paraId="19D9B071" w14:textId="6393BD6A" w:rsidR="000A3AE1" w:rsidRDefault="000A3AE1"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Member States may also consider setting up a Stakeholder Platform. The identification and consultation of stakeholders can contribute substantially towards the successful implementation of a long-term strategy for the energy renovation of buildings. The direct or indirect contribution of relevant stakeholders associated with the energy upgrade of buildings, is also essential for dissemination of the LTRS and collection of data and can create a sense of mutual consensus and acceptance of LTRS.</w:t>
      </w:r>
    </w:p>
    <w:p w14:paraId="5E747DC6" w14:textId="77777777" w:rsidR="00B16FD9" w:rsidRDefault="00B16FD9" w:rsidP="00CE6267">
      <w:pPr>
        <w:spacing w:after="0"/>
        <w:jc w:val="both"/>
        <w:rPr>
          <w:rFonts w:ascii="Times New Roman" w:hAnsi="Times New Roman" w:cs="Times New Roman"/>
          <w:sz w:val="24"/>
          <w:szCs w:val="24"/>
        </w:rPr>
      </w:pPr>
    </w:p>
    <w:p w14:paraId="719F5D85" w14:textId="17662B76" w:rsidR="00291C16" w:rsidRPr="00000176" w:rsidRDefault="000A3AE1" w:rsidP="00B16FD9">
      <w:pPr>
        <w:spacing w:after="0"/>
        <w:jc w:val="both"/>
        <w:rPr>
          <w:rFonts w:ascii="Times New Roman" w:hAnsi="Times New Roman" w:cs="Times New Roman"/>
          <w:sz w:val="24"/>
          <w:szCs w:val="24"/>
        </w:rPr>
      </w:pPr>
      <w:r>
        <w:rPr>
          <w:rFonts w:ascii="Times New Roman" w:hAnsi="Times New Roman" w:cs="Times New Roman"/>
          <w:sz w:val="24"/>
          <w:szCs w:val="24"/>
        </w:rPr>
        <w:t xml:space="preserve">Member States may take the </w:t>
      </w:r>
      <w:proofErr w:type="gramStart"/>
      <w:r>
        <w:rPr>
          <w:rFonts w:ascii="Times New Roman" w:hAnsi="Times New Roman" w:cs="Times New Roman"/>
          <w:sz w:val="24"/>
          <w:szCs w:val="24"/>
        </w:rPr>
        <w:t>above mentioned</w:t>
      </w:r>
      <w:proofErr w:type="gramEnd"/>
      <w:r>
        <w:rPr>
          <w:rFonts w:ascii="Times New Roman" w:hAnsi="Times New Roman" w:cs="Times New Roman"/>
          <w:sz w:val="24"/>
          <w:szCs w:val="24"/>
        </w:rPr>
        <w:t xml:space="preserve"> elements into account for the purpose of establishing their public consultations in an inclusive way</w:t>
      </w:r>
      <w:r w:rsidR="00B16FD9">
        <w:rPr>
          <w:rFonts w:ascii="Times New Roman" w:hAnsi="Times New Roman" w:cs="Times New Roman"/>
          <w:sz w:val="24"/>
          <w:szCs w:val="24"/>
        </w:rPr>
        <w:t xml:space="preserve"> and should</w:t>
      </w:r>
      <w:r w:rsidR="00291C16" w:rsidRPr="00000176">
        <w:rPr>
          <w:rFonts w:ascii="Times New Roman" w:hAnsi="Times New Roman" w:cs="Times New Roman"/>
          <w:sz w:val="24"/>
          <w:szCs w:val="24"/>
        </w:rPr>
        <w:t xml:space="preserve"> ensure suff</w:t>
      </w:r>
      <w:r w:rsidR="003E3E96" w:rsidRPr="00000176">
        <w:rPr>
          <w:rFonts w:ascii="Times New Roman" w:hAnsi="Times New Roman" w:cs="Times New Roman"/>
          <w:sz w:val="24"/>
          <w:szCs w:val="24"/>
        </w:rPr>
        <w:t>ic</w:t>
      </w:r>
      <w:r w:rsidR="00291C16" w:rsidRPr="00000176">
        <w:rPr>
          <w:rFonts w:ascii="Times New Roman" w:hAnsi="Times New Roman" w:cs="Times New Roman"/>
          <w:sz w:val="24"/>
          <w:szCs w:val="24"/>
        </w:rPr>
        <w:t>ient time to consult on the LTRS before submitting their strategy to the Commission.</w:t>
      </w:r>
    </w:p>
    <w:p w14:paraId="3609F9DC" w14:textId="77777777" w:rsidR="00B16FD9" w:rsidRDefault="00B16FD9" w:rsidP="00CE6267">
      <w:pPr>
        <w:spacing w:after="0"/>
        <w:jc w:val="both"/>
        <w:rPr>
          <w:rFonts w:ascii="Times New Roman" w:hAnsi="Times New Roman" w:cs="Times New Roman"/>
          <w:sz w:val="24"/>
          <w:szCs w:val="24"/>
        </w:rPr>
      </w:pPr>
    </w:p>
    <w:p w14:paraId="190C2850" w14:textId="423AA1E6" w:rsidR="00093414" w:rsidRPr="00000176" w:rsidRDefault="00291C16"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A summary of the consultation must be annexed to the LTRS</w:t>
      </w:r>
      <w:r w:rsidR="006121AF" w:rsidRPr="00000176">
        <w:rPr>
          <w:rFonts w:ascii="Times New Roman" w:hAnsi="Times New Roman" w:cs="Times New Roman"/>
          <w:sz w:val="24"/>
          <w:szCs w:val="24"/>
        </w:rPr>
        <w:t xml:space="preserve"> and this summary could highlight for example the</w:t>
      </w:r>
      <w:r w:rsidR="00177B4B" w:rsidRPr="00000176">
        <w:rPr>
          <w:rFonts w:ascii="Times New Roman" w:hAnsi="Times New Roman" w:cs="Times New Roman"/>
          <w:sz w:val="24"/>
          <w:szCs w:val="24"/>
        </w:rPr>
        <w:t xml:space="preserve"> </w:t>
      </w:r>
      <w:r w:rsidR="005625A5" w:rsidRPr="00000176">
        <w:rPr>
          <w:rFonts w:ascii="Times New Roman" w:hAnsi="Times New Roman" w:cs="Times New Roman"/>
          <w:sz w:val="24"/>
          <w:szCs w:val="24"/>
        </w:rPr>
        <w:t xml:space="preserve">duration, period, type </w:t>
      </w:r>
      <w:r w:rsidR="006121AF" w:rsidRPr="00000176">
        <w:rPr>
          <w:rFonts w:ascii="Times New Roman" w:hAnsi="Times New Roman" w:cs="Times New Roman"/>
          <w:sz w:val="24"/>
          <w:szCs w:val="24"/>
        </w:rPr>
        <w:t>(</w:t>
      </w:r>
      <w:r w:rsidR="005625A5" w:rsidRPr="00000176">
        <w:rPr>
          <w:rFonts w:ascii="Times New Roman" w:hAnsi="Times New Roman" w:cs="Times New Roman"/>
          <w:sz w:val="24"/>
          <w:szCs w:val="24"/>
        </w:rPr>
        <w:t xml:space="preserve">open or </w:t>
      </w:r>
      <w:r w:rsidR="006121AF" w:rsidRPr="00000176">
        <w:rPr>
          <w:rFonts w:ascii="Times New Roman" w:hAnsi="Times New Roman" w:cs="Times New Roman"/>
          <w:sz w:val="24"/>
          <w:szCs w:val="24"/>
        </w:rPr>
        <w:t>target</w:t>
      </w:r>
      <w:r w:rsidR="005625A5" w:rsidRPr="00000176">
        <w:rPr>
          <w:rFonts w:ascii="Times New Roman" w:hAnsi="Times New Roman" w:cs="Times New Roman"/>
          <w:sz w:val="24"/>
          <w:szCs w:val="24"/>
        </w:rPr>
        <w:t>ed</w:t>
      </w:r>
      <w:r w:rsidR="006121AF" w:rsidRPr="00000176">
        <w:rPr>
          <w:rFonts w:ascii="Times New Roman" w:hAnsi="Times New Roman" w:cs="Times New Roman"/>
          <w:sz w:val="24"/>
          <w:szCs w:val="24"/>
        </w:rPr>
        <w:t>)</w:t>
      </w:r>
      <w:r w:rsidR="005625A5" w:rsidRPr="00000176">
        <w:rPr>
          <w:rFonts w:ascii="Times New Roman" w:hAnsi="Times New Roman" w:cs="Times New Roman"/>
          <w:sz w:val="24"/>
          <w:szCs w:val="24"/>
        </w:rPr>
        <w:t>,</w:t>
      </w:r>
      <w:r w:rsidR="006121AF" w:rsidRPr="00000176">
        <w:rPr>
          <w:rFonts w:ascii="Times New Roman" w:hAnsi="Times New Roman" w:cs="Times New Roman"/>
          <w:sz w:val="24"/>
          <w:szCs w:val="24"/>
        </w:rPr>
        <w:t xml:space="preserve"> method (face-to-face meetings/events, </w:t>
      </w:r>
      <w:r w:rsidR="005625A5" w:rsidRPr="00000176">
        <w:rPr>
          <w:rFonts w:ascii="Times New Roman" w:hAnsi="Times New Roman" w:cs="Times New Roman"/>
          <w:sz w:val="24"/>
          <w:szCs w:val="24"/>
        </w:rPr>
        <w:t>written comments or internet-based</w:t>
      </w:r>
      <w:r w:rsidR="006121AF" w:rsidRPr="00000176">
        <w:rPr>
          <w:rFonts w:ascii="Times New Roman" w:hAnsi="Times New Roman" w:cs="Times New Roman"/>
          <w:sz w:val="24"/>
          <w:szCs w:val="24"/>
        </w:rPr>
        <w:t>)</w:t>
      </w:r>
      <w:r w:rsidR="005625A5" w:rsidRPr="00000176">
        <w:rPr>
          <w:rFonts w:ascii="Times New Roman" w:hAnsi="Times New Roman" w:cs="Times New Roman"/>
          <w:sz w:val="24"/>
          <w:szCs w:val="24"/>
        </w:rPr>
        <w:t>, number of participants, type of participant – associations, c</w:t>
      </w:r>
      <w:r w:rsidR="00177B4B" w:rsidRPr="00000176">
        <w:rPr>
          <w:rFonts w:ascii="Times New Roman" w:hAnsi="Times New Roman" w:cs="Times New Roman"/>
          <w:sz w:val="24"/>
          <w:szCs w:val="24"/>
        </w:rPr>
        <w:t>itizens, architects, etc. – basic comments, conclusions.</w:t>
      </w:r>
      <w:r w:rsidR="005625A5" w:rsidRPr="00000176">
        <w:rPr>
          <w:rFonts w:ascii="Times New Roman" w:hAnsi="Times New Roman" w:cs="Times New Roman"/>
          <w:sz w:val="24"/>
          <w:szCs w:val="24"/>
        </w:rPr>
        <w:t xml:space="preserve"> </w:t>
      </w:r>
    </w:p>
    <w:p w14:paraId="1FE2DF74" w14:textId="77777777" w:rsidR="004B194D" w:rsidRDefault="004B194D"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lastRenderedPageBreak/>
        <w:t xml:space="preserve">Public consultation can help achieve better policy results and the revised EPBD introduces a requirement to carry out public consultations while leaving the definition of the methodology and process up to each Member State. </w:t>
      </w:r>
    </w:p>
    <w:p w14:paraId="459E0324" w14:textId="77777777" w:rsidR="00B16FD9" w:rsidRPr="00000176" w:rsidRDefault="00B16FD9" w:rsidP="00CE6267">
      <w:pPr>
        <w:spacing w:after="0"/>
        <w:jc w:val="both"/>
        <w:rPr>
          <w:rFonts w:ascii="Times New Roman" w:hAnsi="Times New Roman" w:cs="Times New Roman"/>
          <w:sz w:val="24"/>
          <w:szCs w:val="24"/>
        </w:rPr>
      </w:pPr>
    </w:p>
    <w:p w14:paraId="1FE4AE84" w14:textId="77777777" w:rsidR="0019498F" w:rsidRDefault="005C4F34" w:rsidP="0019498F">
      <w:pPr>
        <w:pStyle w:val="Heading2"/>
        <w:spacing w:before="0" w:after="0" w:line="276" w:lineRule="auto"/>
        <w:contextualSpacing/>
        <w:rPr>
          <w:szCs w:val="24"/>
        </w:rPr>
      </w:pPr>
      <w:bookmarkStart w:id="54" w:name="_Toc524340594"/>
      <w:r w:rsidRPr="00000176">
        <w:rPr>
          <w:szCs w:val="24"/>
        </w:rPr>
        <w:t>Consideration of safety issues</w:t>
      </w:r>
      <w:bookmarkEnd w:id="54"/>
    </w:p>
    <w:p w14:paraId="78CE2C9E" w14:textId="2307C8F5" w:rsidR="00454226" w:rsidRPr="0019498F" w:rsidRDefault="00454226" w:rsidP="0019498F">
      <w:pPr>
        <w:pStyle w:val="Heading2"/>
        <w:numPr>
          <w:ilvl w:val="0"/>
          <w:numId w:val="0"/>
        </w:numPr>
        <w:spacing w:before="0" w:after="0" w:line="276" w:lineRule="auto"/>
        <w:contextualSpacing/>
        <w:rPr>
          <w:b w:val="0"/>
          <w:szCs w:val="24"/>
        </w:rPr>
      </w:pPr>
      <w:bookmarkStart w:id="55" w:name="_Toc524340595"/>
      <w:r w:rsidRPr="0019498F">
        <w:rPr>
          <w:b w:val="0"/>
          <w:i/>
          <w:szCs w:val="24"/>
        </w:rPr>
        <w:t>[to be completed with input from DG GROW]</w:t>
      </w:r>
      <w:bookmarkEnd w:id="55"/>
    </w:p>
    <w:p w14:paraId="6506193A" w14:textId="77777777" w:rsidR="00B16FD9" w:rsidRPr="00000176" w:rsidRDefault="00B16FD9" w:rsidP="00CE6267">
      <w:pPr>
        <w:spacing w:after="0"/>
        <w:jc w:val="both"/>
        <w:rPr>
          <w:rFonts w:ascii="Times New Roman" w:hAnsi="Times New Roman" w:cs="Times New Roman"/>
          <w:i/>
          <w:sz w:val="24"/>
          <w:szCs w:val="24"/>
        </w:rPr>
      </w:pPr>
    </w:p>
    <w:p w14:paraId="36AC5840" w14:textId="5F977DB0" w:rsidR="00E62917" w:rsidRDefault="00C7505B" w:rsidP="00CE6267">
      <w:pPr>
        <w:spacing w:after="0"/>
        <w:jc w:val="both"/>
        <w:rPr>
          <w:rFonts w:ascii="Times New Roman" w:hAnsi="Times New Roman" w:cs="Times New Roman"/>
          <w:sz w:val="24"/>
          <w:szCs w:val="24"/>
        </w:rPr>
      </w:pPr>
      <w:r>
        <w:rPr>
          <w:rFonts w:ascii="Times New Roman" w:hAnsi="Times New Roman" w:cs="Times New Roman"/>
          <w:sz w:val="24"/>
          <w:szCs w:val="24"/>
        </w:rPr>
        <w:t>T</w:t>
      </w:r>
      <w:r w:rsidR="00FF4EC9" w:rsidRPr="00000176">
        <w:rPr>
          <w:rFonts w:ascii="Times New Roman" w:hAnsi="Times New Roman" w:cs="Times New Roman"/>
          <w:sz w:val="24"/>
          <w:szCs w:val="24"/>
        </w:rPr>
        <w:t>he renovation of buildings is an opportunity</w:t>
      </w:r>
      <w:r w:rsidR="00504794" w:rsidRPr="00000176">
        <w:rPr>
          <w:rFonts w:ascii="Times New Roman" w:hAnsi="Times New Roman" w:cs="Times New Roman"/>
          <w:sz w:val="24"/>
          <w:szCs w:val="24"/>
        </w:rPr>
        <w:t xml:space="preserve"> to take</w:t>
      </w:r>
      <w:r w:rsidR="00FF4EC9" w:rsidRPr="00000176">
        <w:rPr>
          <w:rFonts w:ascii="Times New Roman" w:hAnsi="Times New Roman" w:cs="Times New Roman"/>
          <w:sz w:val="24"/>
          <w:szCs w:val="24"/>
        </w:rPr>
        <w:t xml:space="preserve"> </w:t>
      </w:r>
      <w:r w:rsidR="00657EA2" w:rsidRPr="00000176">
        <w:rPr>
          <w:rFonts w:ascii="Times New Roman" w:hAnsi="Times New Roman" w:cs="Times New Roman"/>
          <w:sz w:val="24"/>
          <w:szCs w:val="24"/>
        </w:rPr>
        <w:t xml:space="preserve">into consideration </w:t>
      </w:r>
      <w:r w:rsidR="00E62917" w:rsidRPr="00000176">
        <w:rPr>
          <w:rFonts w:ascii="Times New Roman" w:hAnsi="Times New Roman" w:cs="Times New Roman"/>
          <w:sz w:val="24"/>
          <w:szCs w:val="24"/>
        </w:rPr>
        <w:t>fire</w:t>
      </w:r>
      <w:r w:rsidR="00E62917">
        <w:rPr>
          <w:rFonts w:ascii="Times New Roman" w:hAnsi="Times New Roman" w:cs="Times New Roman"/>
          <w:sz w:val="24"/>
          <w:szCs w:val="24"/>
        </w:rPr>
        <w:t>-</w:t>
      </w:r>
      <w:r w:rsidR="00E62917" w:rsidRPr="00000176">
        <w:rPr>
          <w:rFonts w:ascii="Times New Roman" w:hAnsi="Times New Roman" w:cs="Times New Roman"/>
          <w:sz w:val="24"/>
          <w:szCs w:val="24"/>
        </w:rPr>
        <w:t xml:space="preserve"> or seismic</w:t>
      </w:r>
      <w:r w:rsidR="00E62917">
        <w:rPr>
          <w:rFonts w:ascii="Times New Roman" w:hAnsi="Times New Roman" w:cs="Times New Roman"/>
          <w:sz w:val="24"/>
          <w:szCs w:val="24"/>
        </w:rPr>
        <w:t>-</w:t>
      </w:r>
      <w:r w:rsidR="00E62917" w:rsidRPr="00000176">
        <w:rPr>
          <w:rFonts w:ascii="Times New Roman" w:hAnsi="Times New Roman" w:cs="Times New Roman"/>
          <w:sz w:val="24"/>
          <w:szCs w:val="24"/>
        </w:rPr>
        <w:t xml:space="preserve">related </w:t>
      </w:r>
      <w:r w:rsidR="00FF4EC9" w:rsidRPr="00000176">
        <w:rPr>
          <w:rFonts w:ascii="Times New Roman" w:hAnsi="Times New Roman" w:cs="Times New Roman"/>
          <w:sz w:val="24"/>
          <w:szCs w:val="24"/>
        </w:rPr>
        <w:t xml:space="preserve">safety </w:t>
      </w:r>
      <w:r w:rsidR="00504794" w:rsidRPr="00000176">
        <w:rPr>
          <w:rFonts w:ascii="Times New Roman" w:hAnsi="Times New Roman" w:cs="Times New Roman"/>
          <w:sz w:val="24"/>
          <w:szCs w:val="24"/>
        </w:rPr>
        <w:t>issues</w:t>
      </w:r>
      <w:r w:rsidR="00FF4EC9" w:rsidRPr="00000176">
        <w:rPr>
          <w:rFonts w:ascii="Times New Roman" w:hAnsi="Times New Roman" w:cs="Times New Roman"/>
          <w:sz w:val="24"/>
          <w:szCs w:val="24"/>
        </w:rPr>
        <w:t xml:space="preserve">, </w:t>
      </w:r>
      <w:r w:rsidR="00657EA2">
        <w:rPr>
          <w:rFonts w:ascii="Times New Roman" w:hAnsi="Times New Roman" w:cs="Times New Roman"/>
          <w:sz w:val="24"/>
          <w:szCs w:val="24"/>
        </w:rPr>
        <w:t xml:space="preserve">while </w:t>
      </w:r>
      <w:r w:rsidR="00504794" w:rsidRPr="00000176">
        <w:rPr>
          <w:rFonts w:ascii="Times New Roman" w:hAnsi="Times New Roman" w:cs="Times New Roman"/>
          <w:sz w:val="24"/>
          <w:szCs w:val="24"/>
        </w:rPr>
        <w:t>keeping in mind relevant national regulations</w:t>
      </w:r>
      <w:r w:rsidR="00FF4EC9" w:rsidRPr="00000176">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00FF4EC9" w:rsidRPr="00000176">
        <w:rPr>
          <w:rFonts w:ascii="Times New Roman" w:hAnsi="Times New Roman" w:cs="Times New Roman"/>
          <w:sz w:val="24"/>
          <w:szCs w:val="24"/>
        </w:rPr>
        <w:t xml:space="preserve"> </w:t>
      </w:r>
    </w:p>
    <w:p w14:paraId="3602AD8C" w14:textId="77777777" w:rsidR="00B16FD9" w:rsidRDefault="00B16FD9" w:rsidP="00CE6267">
      <w:pPr>
        <w:spacing w:after="0"/>
        <w:jc w:val="both"/>
        <w:rPr>
          <w:rFonts w:ascii="Times New Roman" w:hAnsi="Times New Roman" w:cs="Times New Roman"/>
          <w:sz w:val="24"/>
          <w:szCs w:val="24"/>
        </w:rPr>
      </w:pPr>
    </w:p>
    <w:p w14:paraId="585FE9EE" w14:textId="0CC2632C" w:rsidR="00465BEE" w:rsidRPr="004B65E6" w:rsidRDefault="005C4F34"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Article 2</w:t>
      </w:r>
      <w:proofErr w:type="gramStart"/>
      <w:r w:rsidRPr="00000176">
        <w:rPr>
          <w:rFonts w:ascii="Times New Roman" w:hAnsi="Times New Roman" w:cs="Times New Roman"/>
          <w:sz w:val="24"/>
          <w:szCs w:val="24"/>
        </w:rPr>
        <w:t>a(</w:t>
      </w:r>
      <w:proofErr w:type="gramEnd"/>
      <w:r w:rsidRPr="00000176">
        <w:rPr>
          <w:rFonts w:ascii="Times New Roman" w:hAnsi="Times New Roman" w:cs="Times New Roman"/>
          <w:sz w:val="24"/>
          <w:szCs w:val="24"/>
        </w:rPr>
        <w:t xml:space="preserve">7) </w:t>
      </w:r>
      <w:r w:rsidR="00504794" w:rsidRPr="00000176">
        <w:rPr>
          <w:rFonts w:ascii="Times New Roman" w:hAnsi="Times New Roman" w:cs="Times New Roman"/>
          <w:sz w:val="24"/>
          <w:szCs w:val="24"/>
        </w:rPr>
        <w:t>provides that</w:t>
      </w:r>
      <w:r w:rsidRPr="00000176">
        <w:rPr>
          <w:rFonts w:ascii="Times New Roman" w:hAnsi="Times New Roman" w:cs="Times New Roman"/>
          <w:sz w:val="24"/>
          <w:szCs w:val="24"/>
        </w:rPr>
        <w:t xml:space="preserve"> Member States </w:t>
      </w:r>
      <w:r w:rsidR="00504794" w:rsidRPr="00000176">
        <w:rPr>
          <w:rFonts w:ascii="Times New Roman" w:hAnsi="Times New Roman" w:cs="Times New Roman"/>
          <w:sz w:val="24"/>
          <w:szCs w:val="24"/>
        </w:rPr>
        <w:t>may</w:t>
      </w:r>
      <w:r w:rsidRPr="00000176">
        <w:rPr>
          <w:rFonts w:ascii="Times New Roman" w:hAnsi="Times New Roman" w:cs="Times New Roman"/>
          <w:sz w:val="24"/>
          <w:szCs w:val="24"/>
        </w:rPr>
        <w:t xml:space="preserve"> use LTRS in order to address fire safety and risks related to intense seismic activity affecting energy efficiency renovations and the lifetime of buildings. This provision should be </w:t>
      </w:r>
      <w:r w:rsidR="00093414" w:rsidRPr="00000176">
        <w:rPr>
          <w:rFonts w:ascii="Times New Roman" w:hAnsi="Times New Roman" w:cs="Times New Roman"/>
          <w:sz w:val="24"/>
          <w:szCs w:val="24"/>
        </w:rPr>
        <w:t xml:space="preserve">read in combination </w:t>
      </w:r>
      <w:r w:rsidRPr="00000176">
        <w:rPr>
          <w:rFonts w:ascii="Times New Roman" w:hAnsi="Times New Roman" w:cs="Times New Roman"/>
          <w:sz w:val="24"/>
          <w:szCs w:val="24"/>
        </w:rPr>
        <w:t xml:space="preserve">with Article 6 of the </w:t>
      </w:r>
      <w:r w:rsidR="00504794" w:rsidRPr="00000176">
        <w:rPr>
          <w:rFonts w:ascii="Times New Roman" w:hAnsi="Times New Roman" w:cs="Times New Roman"/>
          <w:sz w:val="24"/>
          <w:szCs w:val="24"/>
        </w:rPr>
        <w:t>revised EPBD</w:t>
      </w:r>
      <w:r w:rsidRPr="00000176">
        <w:rPr>
          <w:rFonts w:ascii="Times New Roman" w:hAnsi="Times New Roman" w:cs="Times New Roman"/>
          <w:sz w:val="24"/>
          <w:szCs w:val="24"/>
        </w:rPr>
        <w:t>, which also encourages the consideration of fire safety and risks related to intense seismic activity in buildings undergoing major renovation.</w:t>
      </w:r>
      <w:r w:rsidR="00465BEE" w:rsidRPr="004B65E6">
        <w:rPr>
          <w:rFonts w:ascii="Times New Roman" w:hAnsi="Times New Roman" w:cs="Times New Roman"/>
          <w:sz w:val="24"/>
          <w:szCs w:val="24"/>
        </w:rPr>
        <w:br w:type="page"/>
      </w:r>
    </w:p>
    <w:p w14:paraId="56429744" w14:textId="19F25E66" w:rsidR="00AB449C" w:rsidRDefault="00AB449C" w:rsidP="00CE6267">
      <w:pPr>
        <w:pStyle w:val="Heading1"/>
        <w:spacing w:before="0" w:after="0" w:line="276" w:lineRule="auto"/>
        <w:rPr>
          <w:szCs w:val="24"/>
        </w:rPr>
      </w:pPr>
      <w:bookmarkStart w:id="56" w:name="_Toc524340596"/>
      <w:r w:rsidRPr="00AB449C">
        <w:rPr>
          <w:szCs w:val="24"/>
        </w:rPr>
        <w:lastRenderedPageBreak/>
        <w:t>OBLIGATION TO FACILITATE ACCESS TO MECHANISMS TO SUPPORT THE MOBILISATION OF INVESTMENTS (ARTICLE 2</w:t>
      </w:r>
      <w:proofErr w:type="gramStart"/>
      <w:r w:rsidRPr="00AB449C">
        <w:rPr>
          <w:szCs w:val="24"/>
        </w:rPr>
        <w:t>A(</w:t>
      </w:r>
      <w:proofErr w:type="gramEnd"/>
      <w:r w:rsidRPr="00AB449C">
        <w:rPr>
          <w:szCs w:val="24"/>
        </w:rPr>
        <w:t>3))</w:t>
      </w:r>
      <w:bookmarkEnd w:id="56"/>
    </w:p>
    <w:p w14:paraId="6CE66522" w14:textId="10A1ED9D" w:rsidR="00B16FD9" w:rsidRDefault="00B16FD9" w:rsidP="00CE6267">
      <w:pPr>
        <w:spacing w:after="0"/>
        <w:jc w:val="both"/>
        <w:rPr>
          <w:rFonts w:ascii="Times New Roman" w:hAnsi="Times New Roman" w:cs="Times New Roman"/>
          <w:sz w:val="24"/>
          <w:szCs w:val="24"/>
        </w:rPr>
      </w:pPr>
    </w:p>
    <w:p w14:paraId="1AB73C00" w14:textId="2F256904" w:rsidR="00450635" w:rsidRPr="00000176" w:rsidRDefault="00B16FD9" w:rsidP="00CE6267">
      <w:pPr>
        <w:spacing w:after="0"/>
        <w:jc w:val="both"/>
        <w:rPr>
          <w:rFonts w:ascii="Times New Roman" w:hAnsi="Times New Roman" w:cs="Times New Roman"/>
          <w:sz w:val="24"/>
          <w:szCs w:val="24"/>
        </w:rPr>
      </w:pPr>
      <w:r>
        <w:rPr>
          <w:rFonts w:ascii="Times New Roman" w:hAnsi="Times New Roman" w:cs="Times New Roman"/>
          <w:sz w:val="24"/>
          <w:szCs w:val="24"/>
        </w:rPr>
        <w:t>P</w:t>
      </w:r>
      <w:r w:rsidR="009A0F1D">
        <w:rPr>
          <w:rFonts w:ascii="Times New Roman" w:hAnsi="Times New Roman" w:cs="Times New Roman"/>
          <w:sz w:val="24"/>
          <w:szCs w:val="24"/>
        </w:rPr>
        <w:t xml:space="preserve">aragraph 3 of </w:t>
      </w:r>
      <w:r w:rsidR="001B03F7">
        <w:rPr>
          <w:rFonts w:ascii="Times New Roman" w:hAnsi="Times New Roman" w:cs="Times New Roman"/>
          <w:sz w:val="24"/>
          <w:szCs w:val="24"/>
        </w:rPr>
        <w:t>Article 2a obliges Member States to</w:t>
      </w:r>
      <w:r w:rsidR="00E42A72" w:rsidRPr="00000176">
        <w:rPr>
          <w:rFonts w:ascii="Times New Roman" w:hAnsi="Times New Roman" w:cs="Times New Roman"/>
          <w:sz w:val="24"/>
          <w:szCs w:val="24"/>
        </w:rPr>
        <w:t xml:space="preserve"> </w:t>
      </w:r>
      <w:r w:rsidR="009109E2" w:rsidRPr="00000176">
        <w:rPr>
          <w:rFonts w:ascii="Times New Roman" w:hAnsi="Times New Roman" w:cs="Times New Roman"/>
          <w:sz w:val="24"/>
          <w:szCs w:val="24"/>
        </w:rPr>
        <w:t xml:space="preserve">facilitate access to financial mechanisms to support </w:t>
      </w:r>
      <w:r w:rsidR="009A0F1D">
        <w:rPr>
          <w:rFonts w:ascii="Times New Roman" w:hAnsi="Times New Roman" w:cs="Times New Roman"/>
          <w:sz w:val="24"/>
          <w:szCs w:val="24"/>
        </w:rPr>
        <w:t xml:space="preserve">the </w:t>
      </w:r>
      <w:r w:rsidR="009109E2" w:rsidRPr="00000176">
        <w:rPr>
          <w:rFonts w:ascii="Times New Roman" w:hAnsi="Times New Roman" w:cs="Times New Roman"/>
          <w:sz w:val="24"/>
          <w:szCs w:val="24"/>
        </w:rPr>
        <w:t>mobilisation of investments into the renovation needed to achieve the goals in paragraph 1</w:t>
      </w:r>
      <w:r w:rsidR="00B0175A">
        <w:rPr>
          <w:rFonts w:ascii="Times New Roman" w:hAnsi="Times New Roman" w:cs="Times New Roman"/>
          <w:sz w:val="24"/>
          <w:szCs w:val="24"/>
        </w:rPr>
        <w:t>,</w:t>
      </w:r>
      <w:r w:rsidR="00093414" w:rsidRPr="00000176">
        <w:rPr>
          <w:rFonts w:ascii="Times New Roman" w:hAnsi="Times New Roman" w:cs="Times New Roman"/>
          <w:sz w:val="24"/>
          <w:szCs w:val="24"/>
        </w:rPr>
        <w:t xml:space="preserve"> </w:t>
      </w:r>
      <w:r w:rsidR="009109E2" w:rsidRPr="00000176">
        <w:rPr>
          <w:rFonts w:ascii="Times New Roman" w:hAnsi="Times New Roman" w:cs="Times New Roman"/>
          <w:sz w:val="24"/>
          <w:szCs w:val="24"/>
        </w:rPr>
        <w:t>namely a highly energy efficient and decarbonised building stock by 2050 and the cost-effective transformation of existing buildings into nearly-zero-energy buildings.</w:t>
      </w:r>
      <w:r w:rsidR="009A0F1D">
        <w:rPr>
          <w:rFonts w:ascii="Times New Roman" w:hAnsi="Times New Roman" w:cs="Times New Roman"/>
          <w:sz w:val="24"/>
          <w:szCs w:val="24"/>
        </w:rPr>
        <w:t xml:space="preserve"> </w:t>
      </w:r>
      <w:r w:rsidR="009A0F1D" w:rsidRPr="00000176">
        <w:rPr>
          <w:rFonts w:ascii="Times New Roman" w:hAnsi="Times New Roman" w:cs="Times New Roman"/>
          <w:sz w:val="24"/>
          <w:szCs w:val="24"/>
        </w:rPr>
        <w:t>Article 2</w:t>
      </w:r>
      <w:proofErr w:type="gramStart"/>
      <w:r w:rsidR="009A0F1D" w:rsidRPr="00000176">
        <w:rPr>
          <w:rFonts w:ascii="Times New Roman" w:hAnsi="Times New Roman" w:cs="Times New Roman"/>
          <w:sz w:val="24"/>
          <w:szCs w:val="24"/>
        </w:rPr>
        <w:t>a</w:t>
      </w:r>
      <w:r w:rsidR="009A0F1D">
        <w:rPr>
          <w:rFonts w:ascii="Times New Roman" w:hAnsi="Times New Roman" w:cs="Times New Roman"/>
          <w:sz w:val="24"/>
          <w:szCs w:val="24"/>
        </w:rPr>
        <w:t>(</w:t>
      </w:r>
      <w:proofErr w:type="gramEnd"/>
      <w:r w:rsidR="009A0F1D">
        <w:rPr>
          <w:rFonts w:ascii="Times New Roman" w:hAnsi="Times New Roman" w:cs="Times New Roman"/>
          <w:sz w:val="24"/>
          <w:szCs w:val="24"/>
        </w:rPr>
        <w:t>3)</w:t>
      </w:r>
      <w:r w:rsidR="009A0F1D" w:rsidRPr="00000176">
        <w:rPr>
          <w:rFonts w:ascii="Times New Roman" w:hAnsi="Times New Roman" w:cs="Times New Roman"/>
          <w:sz w:val="24"/>
          <w:szCs w:val="24"/>
        </w:rPr>
        <w:t xml:space="preserve"> </w:t>
      </w:r>
      <w:r w:rsidR="009A0F1D">
        <w:rPr>
          <w:rFonts w:ascii="Times New Roman" w:hAnsi="Times New Roman" w:cs="Times New Roman"/>
          <w:sz w:val="24"/>
          <w:szCs w:val="24"/>
        </w:rPr>
        <w:t>sets out</w:t>
      </w:r>
      <w:r w:rsidR="009A0F1D" w:rsidRPr="00000176">
        <w:rPr>
          <w:rFonts w:ascii="Times New Roman" w:hAnsi="Times New Roman" w:cs="Times New Roman"/>
          <w:sz w:val="24"/>
          <w:szCs w:val="24"/>
        </w:rPr>
        <w:t xml:space="preserve"> possible mechanisms for mobilising investments</w:t>
      </w:r>
      <w:r w:rsidR="009A0F1D">
        <w:rPr>
          <w:rFonts w:ascii="Times New Roman" w:hAnsi="Times New Roman" w:cs="Times New Roman"/>
          <w:sz w:val="24"/>
          <w:szCs w:val="24"/>
        </w:rPr>
        <w:t xml:space="preserve"> and builds</w:t>
      </w:r>
      <w:r w:rsidR="009A0F1D" w:rsidRPr="00000176">
        <w:rPr>
          <w:rFonts w:ascii="Times New Roman" w:hAnsi="Times New Roman" w:cs="Times New Roman"/>
          <w:sz w:val="24"/>
          <w:szCs w:val="24"/>
        </w:rPr>
        <w:t xml:space="preserve"> on Article 20 of the EED, which provides that Member States must facilitate the establishment of financing facilities, or the use of existing ones, for energy efficiency improvement measures</w:t>
      </w:r>
      <w:r w:rsidR="009A0F1D">
        <w:rPr>
          <w:rFonts w:ascii="Times New Roman" w:hAnsi="Times New Roman" w:cs="Times New Roman"/>
          <w:sz w:val="24"/>
          <w:szCs w:val="24"/>
        </w:rPr>
        <w:t xml:space="preserve">. </w:t>
      </w:r>
      <w:r w:rsidR="009A0F1D" w:rsidRPr="00000176">
        <w:rPr>
          <w:rFonts w:ascii="Times New Roman" w:hAnsi="Times New Roman" w:cs="Times New Roman"/>
          <w:sz w:val="24"/>
          <w:szCs w:val="24"/>
        </w:rPr>
        <w:t xml:space="preserve"> </w:t>
      </w:r>
      <w:r w:rsidR="00450635" w:rsidRPr="00000176">
        <w:rPr>
          <w:rFonts w:ascii="Times New Roman" w:hAnsi="Times New Roman" w:cs="Times New Roman"/>
          <w:sz w:val="24"/>
          <w:szCs w:val="24"/>
        </w:rPr>
        <w:t xml:space="preserve"> </w:t>
      </w:r>
    </w:p>
    <w:p w14:paraId="493A9525" w14:textId="77777777" w:rsidR="00B16FD9" w:rsidRDefault="00B16FD9" w:rsidP="00CE6267">
      <w:pPr>
        <w:spacing w:after="0"/>
        <w:jc w:val="both"/>
        <w:rPr>
          <w:rFonts w:ascii="Times New Roman" w:hAnsi="Times New Roman" w:cs="Times New Roman"/>
          <w:sz w:val="24"/>
          <w:szCs w:val="24"/>
        </w:rPr>
      </w:pPr>
    </w:p>
    <w:p w14:paraId="028584CD" w14:textId="209B717C" w:rsidR="00450635" w:rsidRDefault="00450635"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Article 2</w:t>
      </w:r>
      <w:proofErr w:type="gramStart"/>
      <w:r w:rsidRPr="00000176">
        <w:rPr>
          <w:rFonts w:ascii="Times New Roman" w:hAnsi="Times New Roman" w:cs="Times New Roman"/>
          <w:sz w:val="24"/>
          <w:szCs w:val="24"/>
        </w:rPr>
        <w:t>a(</w:t>
      </w:r>
      <w:proofErr w:type="gramEnd"/>
      <w:r w:rsidRPr="00000176">
        <w:rPr>
          <w:rFonts w:ascii="Times New Roman" w:hAnsi="Times New Roman" w:cs="Times New Roman"/>
          <w:sz w:val="24"/>
          <w:szCs w:val="24"/>
        </w:rPr>
        <w:t>3) provides that:</w:t>
      </w:r>
    </w:p>
    <w:p w14:paraId="67788C59" w14:textId="77777777" w:rsidR="00B16FD9" w:rsidRPr="00000176" w:rsidRDefault="00B16FD9" w:rsidP="00CE6267">
      <w:pPr>
        <w:spacing w:after="0"/>
        <w:jc w:val="both"/>
        <w:rPr>
          <w:rFonts w:ascii="Times New Roman" w:hAnsi="Times New Roman" w:cs="Times New Roman"/>
          <w:sz w:val="24"/>
          <w:szCs w:val="24"/>
        </w:rPr>
      </w:pPr>
    </w:p>
    <w:p w14:paraId="574453CF" w14:textId="065D5F1E" w:rsidR="00465BEE" w:rsidRPr="00000176" w:rsidRDefault="00465BEE" w:rsidP="00CE6267">
      <w:pPr>
        <w:spacing w:after="0"/>
        <w:ind w:left="720"/>
        <w:jc w:val="both"/>
        <w:rPr>
          <w:rFonts w:ascii="Times New Roman" w:hAnsi="Times New Roman" w:cs="Times New Roman"/>
          <w:b/>
          <w:i/>
          <w:sz w:val="24"/>
          <w:szCs w:val="24"/>
        </w:rPr>
      </w:pPr>
      <w:r w:rsidRPr="00000176">
        <w:rPr>
          <w:rFonts w:ascii="Times New Roman" w:hAnsi="Times New Roman" w:cs="Times New Roman"/>
          <w:b/>
          <w:i/>
          <w:sz w:val="24"/>
          <w:szCs w:val="24"/>
        </w:rPr>
        <w:t>To support the mobilisation of investments into the renovation needed to achieve the goals referred to in paragraph 1, Member States shall facilitate access to appropriate mechanisms for:</w:t>
      </w:r>
    </w:p>
    <w:p w14:paraId="735013E6" w14:textId="77777777" w:rsidR="00465BEE" w:rsidRPr="00000176" w:rsidRDefault="00465BEE" w:rsidP="00CE6267">
      <w:pPr>
        <w:spacing w:after="0"/>
        <w:ind w:left="1440"/>
        <w:jc w:val="both"/>
        <w:rPr>
          <w:rFonts w:ascii="Times New Roman" w:hAnsi="Times New Roman" w:cs="Times New Roman"/>
          <w:b/>
          <w:i/>
          <w:sz w:val="24"/>
          <w:szCs w:val="24"/>
        </w:rPr>
      </w:pPr>
      <w:r w:rsidRPr="00000176">
        <w:rPr>
          <w:rFonts w:ascii="Times New Roman" w:hAnsi="Times New Roman" w:cs="Times New Roman"/>
          <w:b/>
          <w:i/>
          <w:sz w:val="24"/>
          <w:szCs w:val="24"/>
        </w:rPr>
        <w:t>(a)</w:t>
      </w:r>
      <w:r w:rsidRPr="00000176">
        <w:rPr>
          <w:rFonts w:ascii="Times New Roman" w:hAnsi="Times New Roman" w:cs="Times New Roman"/>
          <w:b/>
          <w:i/>
          <w:sz w:val="24"/>
          <w:szCs w:val="24"/>
        </w:rPr>
        <w:tab/>
        <w:t xml:space="preserve">the aggregation of projects, including by investment platforms or groups, and by consortia of small and medium-sized enterprises, to enable investor access as well as packaged solutions for potential clients; </w:t>
      </w:r>
    </w:p>
    <w:p w14:paraId="62185E61" w14:textId="77777777" w:rsidR="00465BEE" w:rsidRPr="00000176" w:rsidRDefault="00465BEE" w:rsidP="00CE6267">
      <w:pPr>
        <w:spacing w:after="0"/>
        <w:ind w:left="1440"/>
        <w:jc w:val="both"/>
        <w:rPr>
          <w:rFonts w:ascii="Times New Roman" w:hAnsi="Times New Roman" w:cs="Times New Roman"/>
          <w:b/>
          <w:i/>
          <w:sz w:val="24"/>
          <w:szCs w:val="24"/>
        </w:rPr>
      </w:pPr>
      <w:r w:rsidRPr="00000176">
        <w:rPr>
          <w:rFonts w:ascii="Times New Roman" w:hAnsi="Times New Roman" w:cs="Times New Roman"/>
          <w:b/>
          <w:i/>
          <w:sz w:val="24"/>
          <w:szCs w:val="24"/>
        </w:rPr>
        <w:t>(b)</w:t>
      </w:r>
      <w:r w:rsidRPr="00000176">
        <w:rPr>
          <w:rFonts w:ascii="Times New Roman" w:hAnsi="Times New Roman" w:cs="Times New Roman"/>
          <w:b/>
          <w:i/>
          <w:sz w:val="24"/>
          <w:szCs w:val="24"/>
        </w:rPr>
        <w:tab/>
        <w:t>the reduction of the perceived risk of energy efficiency operations for investors and the private sector;</w:t>
      </w:r>
    </w:p>
    <w:p w14:paraId="5BE9AAF2" w14:textId="77777777" w:rsidR="00465BEE" w:rsidRPr="00000176" w:rsidRDefault="00465BEE" w:rsidP="00CE6267">
      <w:pPr>
        <w:spacing w:after="0"/>
        <w:ind w:left="1440"/>
        <w:jc w:val="both"/>
        <w:rPr>
          <w:rFonts w:ascii="Times New Roman" w:hAnsi="Times New Roman" w:cs="Times New Roman"/>
          <w:b/>
          <w:i/>
          <w:sz w:val="24"/>
          <w:szCs w:val="24"/>
        </w:rPr>
      </w:pPr>
      <w:r w:rsidRPr="00000176">
        <w:rPr>
          <w:rFonts w:ascii="Times New Roman" w:hAnsi="Times New Roman" w:cs="Times New Roman"/>
          <w:b/>
          <w:i/>
          <w:sz w:val="24"/>
          <w:szCs w:val="24"/>
        </w:rPr>
        <w:t>(c)</w:t>
      </w:r>
      <w:r w:rsidRPr="00000176">
        <w:rPr>
          <w:rFonts w:ascii="Times New Roman" w:hAnsi="Times New Roman" w:cs="Times New Roman"/>
          <w:b/>
          <w:i/>
          <w:sz w:val="24"/>
          <w:szCs w:val="24"/>
        </w:rPr>
        <w:tab/>
        <w:t xml:space="preserve">the use of public funding to leverage additional private-sector investment or address specific market failures; </w:t>
      </w:r>
    </w:p>
    <w:p w14:paraId="2E4FDB7C" w14:textId="77777777" w:rsidR="00465BEE" w:rsidRPr="00000176" w:rsidRDefault="00465BEE" w:rsidP="00CE6267">
      <w:pPr>
        <w:spacing w:after="0"/>
        <w:ind w:left="1440"/>
        <w:jc w:val="both"/>
        <w:rPr>
          <w:rFonts w:ascii="Times New Roman" w:hAnsi="Times New Roman" w:cs="Times New Roman"/>
          <w:b/>
          <w:i/>
          <w:sz w:val="24"/>
          <w:szCs w:val="24"/>
        </w:rPr>
      </w:pPr>
      <w:r w:rsidRPr="00000176">
        <w:rPr>
          <w:rFonts w:ascii="Times New Roman" w:hAnsi="Times New Roman" w:cs="Times New Roman"/>
          <w:b/>
          <w:i/>
          <w:sz w:val="24"/>
          <w:szCs w:val="24"/>
        </w:rPr>
        <w:t>(d)</w:t>
      </w:r>
      <w:r w:rsidRPr="00000176">
        <w:rPr>
          <w:rFonts w:ascii="Times New Roman" w:hAnsi="Times New Roman" w:cs="Times New Roman"/>
          <w:b/>
          <w:i/>
          <w:sz w:val="24"/>
          <w:szCs w:val="24"/>
        </w:rPr>
        <w:tab/>
        <w:t>guiding investments into an energy efficient public building stock, in line with Eurostat guidance; and</w:t>
      </w:r>
    </w:p>
    <w:p w14:paraId="48A3E828" w14:textId="77777777" w:rsidR="00465BEE" w:rsidRDefault="00465BEE" w:rsidP="00CE6267">
      <w:pPr>
        <w:spacing w:after="0"/>
        <w:ind w:left="1440"/>
        <w:jc w:val="both"/>
        <w:rPr>
          <w:rFonts w:ascii="Times New Roman" w:hAnsi="Times New Roman" w:cs="Times New Roman"/>
          <w:b/>
          <w:i/>
          <w:sz w:val="24"/>
          <w:szCs w:val="24"/>
        </w:rPr>
      </w:pPr>
      <w:r w:rsidRPr="00000176">
        <w:rPr>
          <w:rFonts w:ascii="Times New Roman" w:hAnsi="Times New Roman" w:cs="Times New Roman"/>
          <w:b/>
          <w:i/>
          <w:sz w:val="24"/>
          <w:szCs w:val="24"/>
        </w:rPr>
        <w:t>(e)</w:t>
      </w:r>
      <w:r w:rsidRPr="00000176">
        <w:rPr>
          <w:rFonts w:ascii="Times New Roman" w:hAnsi="Times New Roman" w:cs="Times New Roman"/>
          <w:b/>
          <w:i/>
          <w:sz w:val="24"/>
          <w:szCs w:val="24"/>
        </w:rPr>
        <w:tab/>
        <w:t>accessible and transparent advisory tools, such as one-stop-shops for consumers and energy advisory services, on relevant energy efficiency renovations and financing instruments.</w:t>
      </w:r>
    </w:p>
    <w:p w14:paraId="16AD1F5B" w14:textId="77777777" w:rsidR="00B16FD9" w:rsidRPr="00000176" w:rsidRDefault="00B16FD9" w:rsidP="00CE6267">
      <w:pPr>
        <w:spacing w:after="0"/>
        <w:ind w:left="1440"/>
        <w:jc w:val="both"/>
        <w:rPr>
          <w:rFonts w:ascii="Times New Roman" w:hAnsi="Times New Roman" w:cs="Times New Roman"/>
          <w:b/>
          <w:i/>
          <w:sz w:val="24"/>
          <w:szCs w:val="24"/>
        </w:rPr>
      </w:pPr>
    </w:p>
    <w:p w14:paraId="530E24A4" w14:textId="4C6AB12C" w:rsidR="00652DFA" w:rsidRDefault="00450635"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These provisions are in line with the Smart Finance for Smart Buildings (SFSB) initiative.</w:t>
      </w:r>
      <w:r w:rsidR="00DF02D8" w:rsidRPr="00000176">
        <w:rPr>
          <w:rFonts w:ascii="Times New Roman" w:hAnsi="Times New Roman" w:cs="Times New Roman"/>
          <w:sz w:val="24"/>
          <w:szCs w:val="24"/>
        </w:rPr>
        <w:t xml:space="preserve"> </w:t>
      </w:r>
      <w:r w:rsidR="008E1BCC" w:rsidRPr="00000176">
        <w:rPr>
          <w:rFonts w:ascii="Times New Roman" w:hAnsi="Times New Roman" w:cs="Times New Roman"/>
          <w:sz w:val="24"/>
          <w:szCs w:val="24"/>
        </w:rPr>
        <w:t xml:space="preserve">The three pillars of the </w:t>
      </w:r>
      <w:r w:rsidR="00DF02D8" w:rsidRPr="00000176">
        <w:rPr>
          <w:rFonts w:ascii="Times New Roman" w:hAnsi="Times New Roman" w:cs="Times New Roman"/>
          <w:sz w:val="24"/>
          <w:szCs w:val="24"/>
        </w:rPr>
        <w:t xml:space="preserve">SFSB </w:t>
      </w:r>
      <w:r w:rsidR="00652DFA" w:rsidRPr="00000176">
        <w:rPr>
          <w:rFonts w:ascii="Times New Roman" w:hAnsi="Times New Roman" w:cs="Times New Roman"/>
          <w:sz w:val="24"/>
          <w:szCs w:val="24"/>
        </w:rPr>
        <w:t>initiative</w:t>
      </w:r>
      <w:r w:rsidR="00DF02D8" w:rsidRPr="00000176">
        <w:rPr>
          <w:rFonts w:ascii="Times New Roman" w:hAnsi="Times New Roman" w:cs="Times New Roman"/>
          <w:sz w:val="24"/>
          <w:szCs w:val="24"/>
        </w:rPr>
        <w:t xml:space="preserve"> are</w:t>
      </w:r>
      <w:r w:rsidR="00652DFA" w:rsidRPr="00000176">
        <w:rPr>
          <w:rFonts w:ascii="Times New Roman" w:hAnsi="Times New Roman" w:cs="Times New Roman"/>
          <w:sz w:val="24"/>
          <w:szCs w:val="24"/>
        </w:rPr>
        <w:t>:</w:t>
      </w:r>
    </w:p>
    <w:p w14:paraId="48AB71CA" w14:textId="77777777" w:rsidR="00A41FD8" w:rsidRPr="00000176" w:rsidRDefault="00A41FD8" w:rsidP="00CE6267">
      <w:pPr>
        <w:spacing w:after="0"/>
        <w:jc w:val="both"/>
        <w:rPr>
          <w:rFonts w:ascii="Times New Roman" w:hAnsi="Times New Roman" w:cs="Times New Roman"/>
          <w:sz w:val="24"/>
          <w:szCs w:val="24"/>
        </w:rPr>
      </w:pPr>
    </w:p>
    <w:p w14:paraId="60A086CF" w14:textId="28A87C6F" w:rsidR="00652DFA" w:rsidRPr="00000176" w:rsidRDefault="0019498F" w:rsidP="00B16FD9">
      <w:pPr>
        <w:spacing w:after="0"/>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52DFA" w:rsidRPr="00000176">
        <w:rPr>
          <w:rFonts w:ascii="Times New Roman" w:hAnsi="Times New Roman" w:cs="Times New Roman"/>
          <w:sz w:val="24"/>
          <w:szCs w:val="24"/>
        </w:rPr>
        <w:t xml:space="preserve">More effective use of public funds, through: </w:t>
      </w:r>
    </w:p>
    <w:p w14:paraId="0960AE3C" w14:textId="7094722F" w:rsidR="00652DFA" w:rsidRPr="00000176" w:rsidRDefault="00652DFA"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capacity building actions to further deploy financial instruments (ex. </w:t>
      </w:r>
      <w:r w:rsidR="003E3E96" w:rsidRPr="00000176">
        <w:rPr>
          <w:rFonts w:ascii="Times New Roman" w:hAnsi="Times New Roman" w:cs="Times New Roman"/>
          <w:sz w:val="24"/>
          <w:szCs w:val="24"/>
        </w:rPr>
        <w:t>t</w:t>
      </w:r>
      <w:r w:rsidR="00B711C5" w:rsidRPr="00000176">
        <w:rPr>
          <w:rFonts w:ascii="Times New Roman" w:hAnsi="Times New Roman" w:cs="Times New Roman"/>
          <w:sz w:val="24"/>
          <w:szCs w:val="24"/>
        </w:rPr>
        <w:t xml:space="preserve">he </w:t>
      </w:r>
      <w:r w:rsidRPr="00000176">
        <w:rPr>
          <w:rFonts w:ascii="Times New Roman" w:hAnsi="Times New Roman" w:cs="Times New Roman"/>
          <w:sz w:val="24"/>
          <w:szCs w:val="24"/>
        </w:rPr>
        <w:t>S</w:t>
      </w:r>
      <w:r w:rsidR="00B711C5" w:rsidRPr="00000176">
        <w:rPr>
          <w:rFonts w:ascii="Times New Roman" w:hAnsi="Times New Roman" w:cs="Times New Roman"/>
          <w:sz w:val="24"/>
          <w:szCs w:val="24"/>
        </w:rPr>
        <w:t>ustainable Energy Investments</w:t>
      </w:r>
      <w:r w:rsidRPr="00000176">
        <w:rPr>
          <w:rFonts w:ascii="Times New Roman" w:hAnsi="Times New Roman" w:cs="Times New Roman"/>
          <w:sz w:val="24"/>
          <w:szCs w:val="24"/>
        </w:rPr>
        <w:t xml:space="preserve"> Forums)</w:t>
      </w:r>
      <w:r w:rsidR="00B711C5" w:rsidRPr="00000176">
        <w:rPr>
          <w:rFonts w:ascii="Times New Roman" w:hAnsi="Times New Roman" w:cs="Times New Roman"/>
          <w:sz w:val="24"/>
          <w:szCs w:val="24"/>
        </w:rPr>
        <w:t>;</w:t>
      </w:r>
    </w:p>
    <w:p w14:paraId="5D08F103" w14:textId="0CF12F47" w:rsidR="00652DFA" w:rsidRPr="00000176" w:rsidRDefault="00652DFA"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development </w:t>
      </w:r>
      <w:r w:rsidR="00B711C5" w:rsidRPr="00000176">
        <w:rPr>
          <w:rFonts w:ascii="Times New Roman" w:hAnsi="Times New Roman" w:cs="Times New Roman"/>
          <w:sz w:val="24"/>
          <w:szCs w:val="24"/>
        </w:rPr>
        <w:t xml:space="preserve">of </w:t>
      </w:r>
      <w:r w:rsidRPr="00000176">
        <w:rPr>
          <w:rFonts w:ascii="Times New Roman" w:hAnsi="Times New Roman" w:cs="Times New Roman"/>
          <w:sz w:val="24"/>
          <w:szCs w:val="24"/>
        </w:rPr>
        <w:t>flexible energy efficiency and renewable financing platforms</w:t>
      </w:r>
      <w:r w:rsidR="00B711C5" w:rsidRPr="00000176">
        <w:rPr>
          <w:rFonts w:ascii="Times New Roman" w:hAnsi="Times New Roman" w:cs="Times New Roman"/>
          <w:sz w:val="24"/>
          <w:szCs w:val="24"/>
        </w:rPr>
        <w:t>;</w:t>
      </w:r>
    </w:p>
    <w:p w14:paraId="3B12E94A" w14:textId="330E306E" w:rsidR="00652DFA" w:rsidRDefault="00652DFA"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clarification on the accounting treatment of energy performance contracts</w:t>
      </w:r>
      <w:r w:rsidR="00B711C5" w:rsidRPr="00000176">
        <w:rPr>
          <w:rFonts w:ascii="Times New Roman" w:hAnsi="Times New Roman" w:cs="Times New Roman"/>
          <w:sz w:val="24"/>
          <w:szCs w:val="24"/>
        </w:rPr>
        <w:t>.</w:t>
      </w:r>
    </w:p>
    <w:p w14:paraId="74392015" w14:textId="77777777" w:rsidR="00A41FD8" w:rsidRPr="00000176" w:rsidRDefault="00A41FD8" w:rsidP="00A41FD8">
      <w:pPr>
        <w:pStyle w:val="ListParagraph"/>
        <w:spacing w:after="0"/>
        <w:ind w:left="1080"/>
        <w:jc w:val="both"/>
        <w:rPr>
          <w:rFonts w:ascii="Times New Roman" w:hAnsi="Times New Roman" w:cs="Times New Roman"/>
          <w:sz w:val="24"/>
          <w:szCs w:val="24"/>
        </w:rPr>
      </w:pPr>
    </w:p>
    <w:p w14:paraId="5F8C969F" w14:textId="616B561A" w:rsidR="00652DFA" w:rsidRDefault="00450635"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This</w:t>
      </w:r>
      <w:r w:rsidR="00652DFA" w:rsidRPr="00000176">
        <w:rPr>
          <w:rFonts w:ascii="Times New Roman" w:hAnsi="Times New Roman" w:cs="Times New Roman"/>
          <w:sz w:val="24"/>
          <w:szCs w:val="24"/>
        </w:rPr>
        <w:t xml:space="preserve"> </w:t>
      </w:r>
      <w:r w:rsidR="00B711C5" w:rsidRPr="00000176">
        <w:rPr>
          <w:rFonts w:ascii="Times New Roman" w:hAnsi="Times New Roman" w:cs="Times New Roman"/>
          <w:sz w:val="24"/>
          <w:szCs w:val="24"/>
        </w:rPr>
        <w:t xml:space="preserve">will </w:t>
      </w:r>
      <w:r w:rsidR="00652DFA" w:rsidRPr="00000176">
        <w:rPr>
          <w:rFonts w:ascii="Times New Roman" w:hAnsi="Times New Roman" w:cs="Times New Roman"/>
          <w:sz w:val="24"/>
          <w:szCs w:val="24"/>
        </w:rPr>
        <w:t>enable more effective channelling and combination of public funds and it will support a faster deployment of financial instruments.</w:t>
      </w:r>
    </w:p>
    <w:p w14:paraId="4E90AD54" w14:textId="77777777" w:rsidR="00A41FD8" w:rsidRPr="00000176" w:rsidRDefault="00A41FD8" w:rsidP="00CE6267">
      <w:pPr>
        <w:spacing w:after="0"/>
        <w:jc w:val="both"/>
        <w:rPr>
          <w:rFonts w:ascii="Times New Roman" w:hAnsi="Times New Roman" w:cs="Times New Roman"/>
          <w:sz w:val="24"/>
          <w:szCs w:val="24"/>
        </w:rPr>
      </w:pPr>
    </w:p>
    <w:p w14:paraId="2F7B2A54" w14:textId="4E87DFDD" w:rsidR="00652DFA" w:rsidRDefault="00B711C5"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Flexible financing </w:t>
      </w:r>
      <w:r w:rsidR="00652DFA" w:rsidRPr="00000176">
        <w:rPr>
          <w:rFonts w:ascii="Times New Roman" w:hAnsi="Times New Roman" w:cs="Times New Roman"/>
          <w:sz w:val="24"/>
          <w:szCs w:val="24"/>
        </w:rPr>
        <w:t xml:space="preserve">platforms will make available more attractive financing options to final beneficiaries through the sharing of risk and the optimised used of public funds, including </w:t>
      </w:r>
      <w:r w:rsidR="00652DFA" w:rsidRPr="00000176">
        <w:rPr>
          <w:rFonts w:ascii="Times New Roman" w:hAnsi="Times New Roman" w:cs="Times New Roman"/>
          <w:sz w:val="24"/>
          <w:szCs w:val="24"/>
        </w:rPr>
        <w:lastRenderedPageBreak/>
        <w:t xml:space="preserve">European Structural and Investment Funds </w:t>
      </w:r>
      <w:r w:rsidRPr="00000176">
        <w:rPr>
          <w:rFonts w:ascii="Times New Roman" w:hAnsi="Times New Roman" w:cs="Times New Roman"/>
          <w:sz w:val="24"/>
          <w:szCs w:val="24"/>
        </w:rPr>
        <w:t xml:space="preserve">and financing </w:t>
      </w:r>
      <w:r w:rsidR="00652DFA" w:rsidRPr="00000176">
        <w:rPr>
          <w:rFonts w:ascii="Times New Roman" w:hAnsi="Times New Roman" w:cs="Times New Roman"/>
          <w:sz w:val="24"/>
          <w:szCs w:val="24"/>
        </w:rPr>
        <w:t>through the European Fund for Strategic Investments</w:t>
      </w:r>
      <w:r w:rsidR="00A41FD8">
        <w:rPr>
          <w:rFonts w:ascii="Times New Roman" w:hAnsi="Times New Roman" w:cs="Times New Roman"/>
          <w:sz w:val="24"/>
          <w:szCs w:val="24"/>
        </w:rPr>
        <w:t>.</w:t>
      </w:r>
    </w:p>
    <w:p w14:paraId="1F565858" w14:textId="77777777" w:rsidR="00A41FD8" w:rsidRPr="00000176" w:rsidRDefault="00A41FD8" w:rsidP="00CE6267">
      <w:pPr>
        <w:spacing w:after="0"/>
        <w:jc w:val="both"/>
        <w:rPr>
          <w:rFonts w:ascii="Times New Roman" w:hAnsi="Times New Roman" w:cs="Times New Roman"/>
          <w:sz w:val="24"/>
          <w:szCs w:val="24"/>
        </w:rPr>
      </w:pPr>
    </w:p>
    <w:p w14:paraId="2313A6D1" w14:textId="72BF1117" w:rsidR="00652DFA" w:rsidRPr="00000176" w:rsidRDefault="0019498F" w:rsidP="00B16FD9">
      <w:pPr>
        <w:spacing w:after="0"/>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52DFA" w:rsidRPr="00000176">
        <w:rPr>
          <w:rFonts w:ascii="Times New Roman" w:hAnsi="Times New Roman" w:cs="Times New Roman"/>
          <w:sz w:val="24"/>
          <w:szCs w:val="24"/>
        </w:rPr>
        <w:t xml:space="preserve">Aggregation and </w:t>
      </w:r>
      <w:r w:rsidR="00B711C5" w:rsidRPr="00000176">
        <w:rPr>
          <w:rFonts w:ascii="Times New Roman" w:hAnsi="Times New Roman" w:cs="Times New Roman"/>
          <w:sz w:val="24"/>
          <w:szCs w:val="24"/>
        </w:rPr>
        <w:t xml:space="preserve">project development </w:t>
      </w:r>
      <w:r w:rsidR="00652DFA" w:rsidRPr="00000176">
        <w:rPr>
          <w:rFonts w:ascii="Times New Roman" w:hAnsi="Times New Roman" w:cs="Times New Roman"/>
          <w:sz w:val="24"/>
          <w:szCs w:val="24"/>
        </w:rPr>
        <w:t>assistance, by:</w:t>
      </w:r>
    </w:p>
    <w:p w14:paraId="43F372A6" w14:textId="716C1F3B" w:rsidR="00652DFA" w:rsidRPr="00000176" w:rsidRDefault="00652DFA"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reinforcing </w:t>
      </w:r>
      <w:r w:rsidR="00B711C5" w:rsidRPr="00000176">
        <w:rPr>
          <w:rFonts w:ascii="Times New Roman" w:hAnsi="Times New Roman" w:cs="Times New Roman"/>
          <w:sz w:val="24"/>
          <w:szCs w:val="24"/>
        </w:rPr>
        <w:t xml:space="preserve">the </w:t>
      </w:r>
      <w:r w:rsidRPr="00000176">
        <w:rPr>
          <w:rFonts w:ascii="Times New Roman" w:hAnsi="Times New Roman" w:cs="Times New Roman"/>
          <w:sz w:val="24"/>
          <w:szCs w:val="24"/>
        </w:rPr>
        <w:t xml:space="preserve">Project Development Assistance </w:t>
      </w:r>
      <w:r w:rsidR="00B711C5" w:rsidRPr="00000176">
        <w:rPr>
          <w:rFonts w:ascii="Times New Roman" w:hAnsi="Times New Roman" w:cs="Times New Roman"/>
          <w:sz w:val="24"/>
          <w:szCs w:val="24"/>
        </w:rPr>
        <w:t>available at EU level</w:t>
      </w:r>
      <w:r w:rsidR="00A41FD8">
        <w:rPr>
          <w:rFonts w:ascii="Times New Roman" w:hAnsi="Times New Roman" w:cs="Times New Roman"/>
          <w:sz w:val="24"/>
          <w:szCs w:val="24"/>
        </w:rPr>
        <w:t>;</w:t>
      </w:r>
      <w:r w:rsidR="00B711C5" w:rsidRPr="00000176">
        <w:rPr>
          <w:rFonts w:ascii="Times New Roman" w:hAnsi="Times New Roman" w:cs="Times New Roman"/>
          <w:sz w:val="24"/>
          <w:szCs w:val="24"/>
        </w:rPr>
        <w:t xml:space="preserve"> </w:t>
      </w:r>
    </w:p>
    <w:p w14:paraId="6D821229" w14:textId="29CB6AEF" w:rsidR="00652DFA" w:rsidRDefault="00652DFA"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encouraging </w:t>
      </w:r>
      <w:r w:rsidR="00B711C5" w:rsidRPr="00000176">
        <w:rPr>
          <w:rFonts w:ascii="Times New Roman" w:hAnsi="Times New Roman" w:cs="Times New Roman"/>
          <w:sz w:val="24"/>
          <w:szCs w:val="24"/>
        </w:rPr>
        <w:t xml:space="preserve">the development of </w:t>
      </w:r>
      <w:r w:rsidRPr="00000176">
        <w:rPr>
          <w:rFonts w:ascii="Times New Roman" w:hAnsi="Times New Roman" w:cs="Times New Roman"/>
          <w:sz w:val="24"/>
          <w:szCs w:val="24"/>
        </w:rPr>
        <w:t>local/regional one-stop-shops</w:t>
      </w:r>
      <w:r w:rsidR="00B711C5" w:rsidRPr="00000176">
        <w:rPr>
          <w:rFonts w:ascii="Times New Roman" w:hAnsi="Times New Roman" w:cs="Times New Roman"/>
          <w:sz w:val="24"/>
          <w:szCs w:val="24"/>
        </w:rPr>
        <w:t xml:space="preserve"> for energy efficiency services</w:t>
      </w:r>
      <w:r w:rsidR="00A41FD8">
        <w:rPr>
          <w:rFonts w:ascii="Times New Roman" w:hAnsi="Times New Roman" w:cs="Times New Roman"/>
          <w:sz w:val="24"/>
          <w:szCs w:val="24"/>
        </w:rPr>
        <w:t>.</w:t>
      </w:r>
    </w:p>
    <w:p w14:paraId="4DA40E75" w14:textId="77777777" w:rsidR="00A41FD8" w:rsidRPr="00000176" w:rsidRDefault="00A41FD8" w:rsidP="00A41FD8">
      <w:pPr>
        <w:pStyle w:val="ListParagraph"/>
        <w:spacing w:after="0"/>
        <w:ind w:left="1080"/>
        <w:jc w:val="both"/>
        <w:rPr>
          <w:rFonts w:ascii="Times New Roman" w:hAnsi="Times New Roman" w:cs="Times New Roman"/>
          <w:sz w:val="24"/>
          <w:szCs w:val="24"/>
        </w:rPr>
      </w:pPr>
    </w:p>
    <w:p w14:paraId="31FF9027" w14:textId="5BE47189" w:rsidR="00652DFA" w:rsidRDefault="00450635"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This</w:t>
      </w:r>
      <w:r w:rsidR="00652DFA" w:rsidRPr="00000176">
        <w:rPr>
          <w:rFonts w:ascii="Times New Roman" w:hAnsi="Times New Roman" w:cs="Times New Roman"/>
          <w:sz w:val="24"/>
          <w:szCs w:val="24"/>
        </w:rPr>
        <w:t xml:space="preserve"> </w:t>
      </w:r>
      <w:r w:rsidR="00B711C5" w:rsidRPr="00000176">
        <w:rPr>
          <w:rFonts w:ascii="Times New Roman" w:hAnsi="Times New Roman" w:cs="Times New Roman"/>
          <w:sz w:val="24"/>
          <w:szCs w:val="24"/>
        </w:rPr>
        <w:t xml:space="preserve">will </w:t>
      </w:r>
      <w:r w:rsidR="00652DFA" w:rsidRPr="00000176">
        <w:rPr>
          <w:rFonts w:ascii="Times New Roman" w:hAnsi="Times New Roman" w:cs="Times New Roman"/>
          <w:sz w:val="24"/>
          <w:szCs w:val="24"/>
        </w:rPr>
        <w:t xml:space="preserve">help project developers bring good project ideas to </w:t>
      </w:r>
      <w:proofErr w:type="gramStart"/>
      <w:r w:rsidR="00652DFA" w:rsidRPr="00000176">
        <w:rPr>
          <w:rFonts w:ascii="Times New Roman" w:hAnsi="Times New Roman" w:cs="Times New Roman"/>
          <w:sz w:val="24"/>
          <w:szCs w:val="24"/>
        </w:rPr>
        <w:t xml:space="preserve">maturity, </w:t>
      </w:r>
      <w:r w:rsidR="00B711C5" w:rsidRPr="00000176">
        <w:rPr>
          <w:rFonts w:ascii="Times New Roman" w:hAnsi="Times New Roman" w:cs="Times New Roman"/>
          <w:sz w:val="24"/>
          <w:szCs w:val="24"/>
        </w:rPr>
        <w:t xml:space="preserve"> will</w:t>
      </w:r>
      <w:proofErr w:type="gramEnd"/>
      <w:r w:rsidR="00B711C5" w:rsidRPr="00000176">
        <w:rPr>
          <w:rFonts w:ascii="Times New Roman" w:hAnsi="Times New Roman" w:cs="Times New Roman"/>
          <w:sz w:val="24"/>
          <w:szCs w:val="24"/>
        </w:rPr>
        <w:t xml:space="preserve"> facilitate the access of buildings owners, households and companies to information and to energy efficiency services, enabling the </w:t>
      </w:r>
      <w:r w:rsidR="00652DFA" w:rsidRPr="00000176">
        <w:rPr>
          <w:rFonts w:ascii="Times New Roman" w:hAnsi="Times New Roman" w:cs="Times New Roman"/>
          <w:sz w:val="24"/>
          <w:szCs w:val="24"/>
        </w:rPr>
        <w:t>develop</w:t>
      </w:r>
      <w:r w:rsidR="00B711C5" w:rsidRPr="00000176">
        <w:rPr>
          <w:rFonts w:ascii="Times New Roman" w:hAnsi="Times New Roman" w:cs="Times New Roman"/>
          <w:sz w:val="24"/>
          <w:szCs w:val="24"/>
        </w:rPr>
        <w:t xml:space="preserve">ment of large-scale </w:t>
      </w:r>
      <w:r w:rsidR="00652DFA" w:rsidRPr="00000176">
        <w:rPr>
          <w:rFonts w:ascii="Times New Roman" w:hAnsi="Times New Roman" w:cs="Times New Roman"/>
          <w:sz w:val="24"/>
          <w:szCs w:val="24"/>
        </w:rPr>
        <w:t>investment programmes</w:t>
      </w:r>
      <w:r w:rsidR="00B711C5" w:rsidRPr="00000176">
        <w:rPr>
          <w:rFonts w:ascii="Times New Roman" w:hAnsi="Times New Roman" w:cs="Times New Roman"/>
          <w:sz w:val="24"/>
          <w:szCs w:val="24"/>
        </w:rPr>
        <w:t xml:space="preserve">. The </w:t>
      </w:r>
      <w:r w:rsidR="00652DFA" w:rsidRPr="00000176">
        <w:rPr>
          <w:rFonts w:ascii="Times New Roman" w:hAnsi="Times New Roman" w:cs="Times New Roman"/>
          <w:sz w:val="24"/>
          <w:szCs w:val="24"/>
        </w:rPr>
        <w:t xml:space="preserve">dedicated one-stop-shops at the local </w:t>
      </w:r>
      <w:r w:rsidR="00B711C5" w:rsidRPr="00000176">
        <w:rPr>
          <w:rFonts w:ascii="Times New Roman" w:hAnsi="Times New Roman" w:cs="Times New Roman"/>
          <w:sz w:val="24"/>
          <w:szCs w:val="24"/>
        </w:rPr>
        <w:t xml:space="preserve">or regional </w:t>
      </w:r>
      <w:r w:rsidR="00652DFA" w:rsidRPr="00000176">
        <w:rPr>
          <w:rFonts w:ascii="Times New Roman" w:hAnsi="Times New Roman" w:cs="Times New Roman"/>
          <w:sz w:val="24"/>
          <w:szCs w:val="24"/>
        </w:rPr>
        <w:t>level</w:t>
      </w:r>
      <w:r w:rsidR="00B711C5" w:rsidRPr="00000176">
        <w:rPr>
          <w:rFonts w:ascii="Times New Roman" w:hAnsi="Times New Roman" w:cs="Times New Roman"/>
          <w:sz w:val="24"/>
          <w:szCs w:val="24"/>
        </w:rPr>
        <w:t xml:space="preserve"> will facilitate the aggregation of different projects, making them more attractive for the financial market</w:t>
      </w:r>
      <w:r w:rsidR="00652DFA" w:rsidRPr="00000176">
        <w:rPr>
          <w:rFonts w:ascii="Times New Roman" w:hAnsi="Times New Roman" w:cs="Times New Roman"/>
          <w:sz w:val="24"/>
          <w:szCs w:val="24"/>
        </w:rPr>
        <w:t xml:space="preserve">. </w:t>
      </w:r>
    </w:p>
    <w:p w14:paraId="5BF70A00" w14:textId="77777777" w:rsidR="00A41FD8" w:rsidRPr="00000176" w:rsidRDefault="00A41FD8" w:rsidP="00CE6267">
      <w:pPr>
        <w:spacing w:after="0"/>
        <w:jc w:val="both"/>
        <w:rPr>
          <w:rFonts w:ascii="Times New Roman" w:hAnsi="Times New Roman" w:cs="Times New Roman"/>
          <w:sz w:val="24"/>
          <w:szCs w:val="24"/>
        </w:rPr>
      </w:pPr>
    </w:p>
    <w:p w14:paraId="3449F951" w14:textId="60D4E756" w:rsidR="00652DFA" w:rsidRPr="00000176" w:rsidRDefault="0019498F" w:rsidP="0019498F">
      <w:pPr>
        <w:spacing w:after="0"/>
        <w:ind w:left="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652DFA" w:rsidRPr="00000176">
        <w:rPr>
          <w:rFonts w:ascii="Times New Roman" w:hAnsi="Times New Roman" w:cs="Times New Roman"/>
          <w:sz w:val="24"/>
          <w:szCs w:val="24"/>
        </w:rPr>
        <w:t xml:space="preserve">De-risking, </w:t>
      </w:r>
      <w:r w:rsidR="00210FFA" w:rsidRPr="00000176">
        <w:rPr>
          <w:rFonts w:ascii="Times New Roman" w:hAnsi="Times New Roman" w:cs="Times New Roman"/>
          <w:sz w:val="24"/>
          <w:szCs w:val="24"/>
        </w:rPr>
        <w:t xml:space="preserve">mainly </w:t>
      </w:r>
      <w:r w:rsidR="00334A54" w:rsidRPr="00000176">
        <w:rPr>
          <w:rFonts w:ascii="Times New Roman" w:hAnsi="Times New Roman" w:cs="Times New Roman"/>
          <w:sz w:val="24"/>
          <w:szCs w:val="24"/>
        </w:rPr>
        <w:t>through two products developed t</w:t>
      </w:r>
      <w:r w:rsidR="00210FFA" w:rsidRPr="00000176">
        <w:rPr>
          <w:rFonts w:ascii="Times New Roman" w:hAnsi="Times New Roman" w:cs="Times New Roman"/>
          <w:sz w:val="24"/>
          <w:szCs w:val="24"/>
        </w:rPr>
        <w:t>o</w:t>
      </w:r>
      <w:r w:rsidR="00334A54" w:rsidRPr="00000176">
        <w:rPr>
          <w:rFonts w:ascii="Times New Roman" w:hAnsi="Times New Roman" w:cs="Times New Roman"/>
          <w:sz w:val="24"/>
          <w:szCs w:val="24"/>
        </w:rPr>
        <w:t>gether with the Energy Efficiency</w:t>
      </w:r>
      <w:r w:rsidR="00210FFA" w:rsidRPr="00000176">
        <w:rPr>
          <w:rFonts w:ascii="Times New Roman" w:hAnsi="Times New Roman" w:cs="Times New Roman"/>
          <w:sz w:val="24"/>
          <w:szCs w:val="24"/>
        </w:rPr>
        <w:t xml:space="preserve"> </w:t>
      </w:r>
      <w:r w:rsidR="003E3E96" w:rsidRPr="00000176">
        <w:rPr>
          <w:rFonts w:ascii="Times New Roman" w:hAnsi="Times New Roman" w:cs="Times New Roman"/>
          <w:sz w:val="24"/>
          <w:szCs w:val="24"/>
        </w:rPr>
        <w:t>Financial</w:t>
      </w:r>
      <w:r w:rsidR="00210FFA" w:rsidRPr="00000176">
        <w:rPr>
          <w:rFonts w:ascii="Times New Roman" w:hAnsi="Times New Roman" w:cs="Times New Roman"/>
          <w:sz w:val="24"/>
          <w:szCs w:val="24"/>
        </w:rPr>
        <w:t xml:space="preserve"> Institutions Group (EEFIG)</w:t>
      </w:r>
      <w:r w:rsidR="00652DFA" w:rsidRPr="00000176">
        <w:rPr>
          <w:rFonts w:ascii="Times New Roman" w:hAnsi="Times New Roman" w:cs="Times New Roman"/>
          <w:sz w:val="24"/>
          <w:szCs w:val="24"/>
        </w:rPr>
        <w:t xml:space="preserve">: </w:t>
      </w:r>
    </w:p>
    <w:p w14:paraId="14EE6767" w14:textId="7EE6C3DE" w:rsidR="00652DFA" w:rsidRPr="00000176" w:rsidRDefault="00652DFA"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an open source database </w:t>
      </w:r>
      <w:r w:rsidR="00210FFA" w:rsidRPr="00000176">
        <w:rPr>
          <w:rFonts w:ascii="Times New Roman" w:hAnsi="Times New Roman" w:cs="Times New Roman"/>
          <w:sz w:val="24"/>
          <w:szCs w:val="24"/>
        </w:rPr>
        <w:t xml:space="preserve">providing evidence on the real technical and financial performance of energy efficiency </w:t>
      </w:r>
      <w:r w:rsidR="003E3E96" w:rsidRPr="00000176">
        <w:rPr>
          <w:rFonts w:ascii="Times New Roman" w:hAnsi="Times New Roman" w:cs="Times New Roman"/>
          <w:sz w:val="24"/>
          <w:szCs w:val="24"/>
        </w:rPr>
        <w:t>investments</w:t>
      </w:r>
      <w:r w:rsidR="00210FFA" w:rsidRPr="00000176">
        <w:rPr>
          <w:rFonts w:ascii="Times New Roman" w:hAnsi="Times New Roman" w:cs="Times New Roman"/>
          <w:sz w:val="24"/>
          <w:szCs w:val="24"/>
        </w:rPr>
        <w:t xml:space="preserve"> – </w:t>
      </w:r>
      <w:proofErr w:type="gramStart"/>
      <w:r w:rsidR="00210FFA" w:rsidRPr="00000176">
        <w:rPr>
          <w:rFonts w:ascii="Times New Roman" w:hAnsi="Times New Roman" w:cs="Times New Roman"/>
          <w:sz w:val="24"/>
          <w:szCs w:val="24"/>
        </w:rPr>
        <w:t xml:space="preserve">the </w:t>
      </w:r>
      <w:r w:rsidR="0012577D" w:rsidRPr="00000176">
        <w:rPr>
          <w:rFonts w:ascii="Times New Roman" w:hAnsi="Times New Roman" w:cs="Times New Roman"/>
          <w:sz w:val="24"/>
          <w:szCs w:val="24"/>
        </w:rPr>
        <w:t xml:space="preserve"> De</w:t>
      </w:r>
      <w:proofErr w:type="gramEnd"/>
      <w:r w:rsidR="0012577D" w:rsidRPr="00000176">
        <w:rPr>
          <w:rFonts w:ascii="Times New Roman" w:hAnsi="Times New Roman" w:cs="Times New Roman"/>
          <w:sz w:val="24"/>
          <w:szCs w:val="24"/>
        </w:rPr>
        <w:t>-risking Energy Efficiency Platform</w:t>
      </w:r>
      <w:r w:rsidRPr="00000176">
        <w:rPr>
          <w:rFonts w:ascii="Times New Roman" w:hAnsi="Times New Roman" w:cs="Times New Roman"/>
          <w:sz w:val="24"/>
          <w:szCs w:val="24"/>
        </w:rPr>
        <w:t xml:space="preserve"> (DEEP)</w:t>
      </w:r>
      <w:r w:rsidR="009A0F1D">
        <w:rPr>
          <w:rFonts w:ascii="Times New Roman" w:hAnsi="Times New Roman" w:cs="Times New Roman"/>
          <w:sz w:val="24"/>
          <w:szCs w:val="24"/>
        </w:rPr>
        <w:t>;</w:t>
      </w:r>
      <w:r w:rsidR="0012577D" w:rsidRPr="00230F24">
        <w:rPr>
          <w:vertAlign w:val="superscript"/>
        </w:rPr>
        <w:footnoteReference w:id="20"/>
      </w:r>
    </w:p>
    <w:p w14:paraId="19019F21" w14:textId="58681E49" w:rsidR="00652DFA" w:rsidRDefault="00652DFA"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a consensual framework for </w:t>
      </w:r>
      <w:proofErr w:type="gramStart"/>
      <w:r w:rsidRPr="00000176">
        <w:rPr>
          <w:rFonts w:ascii="Times New Roman" w:hAnsi="Times New Roman" w:cs="Times New Roman"/>
          <w:sz w:val="24"/>
          <w:szCs w:val="24"/>
        </w:rPr>
        <w:t>underwriting  energy</w:t>
      </w:r>
      <w:proofErr w:type="gramEnd"/>
      <w:r w:rsidRPr="00000176">
        <w:rPr>
          <w:rFonts w:ascii="Times New Roman" w:hAnsi="Times New Roman" w:cs="Times New Roman"/>
          <w:sz w:val="24"/>
          <w:szCs w:val="24"/>
        </w:rPr>
        <w:t xml:space="preserve"> efficiency </w:t>
      </w:r>
      <w:r w:rsidR="003E3E96" w:rsidRPr="00000176">
        <w:rPr>
          <w:rFonts w:ascii="Times New Roman" w:hAnsi="Times New Roman" w:cs="Times New Roman"/>
          <w:sz w:val="24"/>
          <w:szCs w:val="24"/>
        </w:rPr>
        <w:t>investments</w:t>
      </w:r>
      <w:r w:rsidR="0012577D" w:rsidRPr="00000176">
        <w:rPr>
          <w:rFonts w:ascii="Times New Roman" w:hAnsi="Times New Roman" w:cs="Times New Roman"/>
          <w:sz w:val="24"/>
          <w:szCs w:val="24"/>
        </w:rPr>
        <w:t xml:space="preserve"> </w:t>
      </w:r>
      <w:r w:rsidRPr="00000176">
        <w:rPr>
          <w:rFonts w:ascii="Times New Roman" w:hAnsi="Times New Roman" w:cs="Times New Roman"/>
          <w:sz w:val="24"/>
          <w:szCs w:val="24"/>
        </w:rPr>
        <w:t>(</w:t>
      </w:r>
      <w:r w:rsidR="0012577D" w:rsidRPr="00000176">
        <w:rPr>
          <w:rFonts w:ascii="Times New Roman" w:hAnsi="Times New Roman" w:cs="Times New Roman"/>
          <w:sz w:val="24"/>
          <w:szCs w:val="24"/>
        </w:rPr>
        <w:t xml:space="preserve">the </w:t>
      </w:r>
      <w:r w:rsidRPr="00000176">
        <w:rPr>
          <w:rFonts w:ascii="Times New Roman" w:hAnsi="Times New Roman" w:cs="Times New Roman"/>
          <w:sz w:val="24"/>
          <w:szCs w:val="24"/>
        </w:rPr>
        <w:t>EEFIG underwriting tool</w:t>
      </w:r>
      <w:r w:rsidR="0012577D" w:rsidRPr="00230F24">
        <w:rPr>
          <w:vertAlign w:val="superscript"/>
        </w:rPr>
        <w:footnoteReference w:id="21"/>
      </w:r>
      <w:r w:rsidRPr="00000176">
        <w:rPr>
          <w:rFonts w:ascii="Times New Roman" w:hAnsi="Times New Roman" w:cs="Times New Roman"/>
          <w:sz w:val="24"/>
          <w:szCs w:val="24"/>
        </w:rPr>
        <w:t>)</w:t>
      </w:r>
      <w:r w:rsidR="00AE101E" w:rsidRPr="00000176">
        <w:rPr>
          <w:rFonts w:ascii="Times New Roman" w:hAnsi="Times New Roman" w:cs="Times New Roman"/>
          <w:sz w:val="24"/>
          <w:szCs w:val="24"/>
        </w:rPr>
        <w:t xml:space="preserve">, aimed to provide guidance on how to assess the risks and benefits associated to energy </w:t>
      </w:r>
      <w:r w:rsidR="003E3E96" w:rsidRPr="00000176">
        <w:rPr>
          <w:rFonts w:ascii="Times New Roman" w:hAnsi="Times New Roman" w:cs="Times New Roman"/>
          <w:sz w:val="24"/>
          <w:szCs w:val="24"/>
        </w:rPr>
        <w:t>efficiency</w:t>
      </w:r>
      <w:r w:rsidR="00AE101E" w:rsidRPr="00000176">
        <w:rPr>
          <w:rFonts w:ascii="Times New Roman" w:hAnsi="Times New Roman" w:cs="Times New Roman"/>
          <w:sz w:val="24"/>
          <w:szCs w:val="24"/>
        </w:rPr>
        <w:t xml:space="preserve"> investments.</w:t>
      </w:r>
    </w:p>
    <w:p w14:paraId="2F478DAC" w14:textId="77777777" w:rsidR="00A41FD8" w:rsidRPr="00000176" w:rsidRDefault="00A41FD8" w:rsidP="00A41FD8">
      <w:pPr>
        <w:pStyle w:val="ListParagraph"/>
        <w:spacing w:after="0"/>
        <w:ind w:left="1080"/>
        <w:jc w:val="both"/>
        <w:rPr>
          <w:rFonts w:ascii="Times New Roman" w:hAnsi="Times New Roman" w:cs="Times New Roman"/>
          <w:sz w:val="24"/>
          <w:szCs w:val="24"/>
        </w:rPr>
      </w:pPr>
    </w:p>
    <w:p w14:paraId="6E427E1E" w14:textId="4CE65DAB" w:rsidR="00652DFA" w:rsidRPr="00000176" w:rsidRDefault="00342F3B"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This</w:t>
      </w:r>
      <w:r w:rsidR="00652DFA" w:rsidRPr="00000176">
        <w:rPr>
          <w:rFonts w:ascii="Times New Roman" w:hAnsi="Times New Roman" w:cs="Times New Roman"/>
          <w:sz w:val="24"/>
          <w:szCs w:val="24"/>
        </w:rPr>
        <w:t xml:space="preserve"> </w:t>
      </w:r>
      <w:r w:rsidR="0012577D" w:rsidRPr="00000176">
        <w:rPr>
          <w:rFonts w:ascii="Times New Roman" w:hAnsi="Times New Roman" w:cs="Times New Roman"/>
          <w:sz w:val="24"/>
          <w:szCs w:val="24"/>
        </w:rPr>
        <w:t xml:space="preserve">will help the market correctly assess the risks, but also the </w:t>
      </w:r>
      <w:r w:rsidR="003E3E96" w:rsidRPr="00000176">
        <w:rPr>
          <w:rFonts w:ascii="Times New Roman" w:hAnsi="Times New Roman" w:cs="Times New Roman"/>
          <w:sz w:val="24"/>
          <w:szCs w:val="24"/>
        </w:rPr>
        <w:t>benefits</w:t>
      </w:r>
      <w:r w:rsidR="0012577D" w:rsidRPr="00000176">
        <w:rPr>
          <w:rFonts w:ascii="Times New Roman" w:hAnsi="Times New Roman" w:cs="Times New Roman"/>
          <w:sz w:val="24"/>
          <w:szCs w:val="24"/>
        </w:rPr>
        <w:t xml:space="preserve"> associated to </w:t>
      </w:r>
      <w:r w:rsidR="00652DFA" w:rsidRPr="00000176">
        <w:rPr>
          <w:rFonts w:ascii="Times New Roman" w:hAnsi="Times New Roman" w:cs="Times New Roman"/>
          <w:sz w:val="24"/>
          <w:szCs w:val="24"/>
        </w:rPr>
        <w:t>energy efficiency investments</w:t>
      </w:r>
      <w:r w:rsidR="0012577D" w:rsidRPr="00000176">
        <w:rPr>
          <w:rFonts w:ascii="Times New Roman" w:hAnsi="Times New Roman" w:cs="Times New Roman"/>
          <w:sz w:val="24"/>
          <w:szCs w:val="24"/>
        </w:rPr>
        <w:t xml:space="preserve">, making these </w:t>
      </w:r>
      <w:r w:rsidR="003E3E96" w:rsidRPr="00000176">
        <w:rPr>
          <w:rFonts w:ascii="Times New Roman" w:hAnsi="Times New Roman" w:cs="Times New Roman"/>
          <w:sz w:val="24"/>
          <w:szCs w:val="24"/>
        </w:rPr>
        <w:t>investments</w:t>
      </w:r>
      <w:r w:rsidR="00652DFA" w:rsidRPr="00000176">
        <w:rPr>
          <w:rFonts w:ascii="Times New Roman" w:hAnsi="Times New Roman" w:cs="Times New Roman"/>
          <w:sz w:val="24"/>
          <w:szCs w:val="24"/>
        </w:rPr>
        <w:t xml:space="preserve"> more trusted and </w:t>
      </w:r>
      <w:r w:rsidR="0012577D" w:rsidRPr="00000176">
        <w:rPr>
          <w:rFonts w:ascii="Times New Roman" w:hAnsi="Times New Roman" w:cs="Times New Roman"/>
          <w:sz w:val="24"/>
          <w:szCs w:val="24"/>
        </w:rPr>
        <w:t xml:space="preserve">more </w:t>
      </w:r>
      <w:r w:rsidR="00652DFA" w:rsidRPr="00000176">
        <w:rPr>
          <w:rFonts w:ascii="Times New Roman" w:hAnsi="Times New Roman" w:cs="Times New Roman"/>
          <w:sz w:val="24"/>
          <w:szCs w:val="24"/>
        </w:rPr>
        <w:t xml:space="preserve">attractive for project promoters, </w:t>
      </w:r>
      <w:r w:rsidR="0012577D" w:rsidRPr="00000176">
        <w:rPr>
          <w:rFonts w:ascii="Times New Roman" w:hAnsi="Times New Roman" w:cs="Times New Roman"/>
          <w:sz w:val="24"/>
          <w:szCs w:val="24"/>
        </w:rPr>
        <w:t xml:space="preserve">investors and </w:t>
      </w:r>
      <w:r w:rsidR="00652DFA" w:rsidRPr="00000176">
        <w:rPr>
          <w:rFonts w:ascii="Times New Roman" w:hAnsi="Times New Roman" w:cs="Times New Roman"/>
          <w:sz w:val="24"/>
          <w:szCs w:val="24"/>
        </w:rPr>
        <w:t>financi</w:t>
      </w:r>
      <w:r w:rsidR="0012577D" w:rsidRPr="00000176">
        <w:rPr>
          <w:rFonts w:ascii="Times New Roman" w:hAnsi="Times New Roman" w:cs="Times New Roman"/>
          <w:sz w:val="24"/>
          <w:szCs w:val="24"/>
        </w:rPr>
        <w:t xml:space="preserve">al institutions. </w:t>
      </w:r>
    </w:p>
    <w:p w14:paraId="6712D9FF" w14:textId="77777777" w:rsidR="00A41FD8" w:rsidRDefault="00A41FD8" w:rsidP="00CE6267">
      <w:pPr>
        <w:spacing w:after="0"/>
        <w:jc w:val="both"/>
        <w:rPr>
          <w:rFonts w:ascii="Times New Roman" w:hAnsi="Times New Roman" w:cs="Times New Roman"/>
          <w:sz w:val="24"/>
          <w:szCs w:val="24"/>
        </w:rPr>
      </w:pPr>
    </w:p>
    <w:p w14:paraId="07ED2988" w14:textId="7A7A8BCA" w:rsidR="00DF02D8" w:rsidRPr="00000176" w:rsidRDefault="00BC14DB"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To drive their LTRS, </w:t>
      </w:r>
      <w:r w:rsidR="006033F6" w:rsidRPr="00000176">
        <w:rPr>
          <w:rFonts w:ascii="Times New Roman" w:hAnsi="Times New Roman" w:cs="Times New Roman"/>
          <w:sz w:val="24"/>
          <w:szCs w:val="24"/>
        </w:rPr>
        <w:t>Member States will need to creat</w:t>
      </w:r>
      <w:r w:rsidRPr="00000176">
        <w:rPr>
          <w:rFonts w:ascii="Times New Roman" w:hAnsi="Times New Roman" w:cs="Times New Roman"/>
          <w:sz w:val="24"/>
          <w:szCs w:val="24"/>
        </w:rPr>
        <w:t>e</w:t>
      </w:r>
      <w:r w:rsidR="006033F6" w:rsidRPr="00000176">
        <w:rPr>
          <w:rFonts w:ascii="Times New Roman" w:hAnsi="Times New Roman" w:cs="Times New Roman"/>
          <w:sz w:val="24"/>
          <w:szCs w:val="24"/>
        </w:rPr>
        <w:t xml:space="preserve"> a</w:t>
      </w:r>
      <w:r w:rsidR="00DF02D8" w:rsidRPr="00000176">
        <w:rPr>
          <w:rFonts w:ascii="Times New Roman" w:hAnsi="Times New Roman" w:cs="Times New Roman"/>
          <w:sz w:val="24"/>
          <w:szCs w:val="24"/>
        </w:rPr>
        <w:t>ccess to</w:t>
      </w:r>
      <w:r w:rsidR="006033F6" w:rsidRPr="00000176">
        <w:rPr>
          <w:rFonts w:ascii="Times New Roman" w:hAnsi="Times New Roman" w:cs="Times New Roman"/>
          <w:sz w:val="24"/>
          <w:szCs w:val="24"/>
        </w:rPr>
        <w:t xml:space="preserve"> a range of</w:t>
      </w:r>
      <w:r w:rsidR="00DF02D8" w:rsidRPr="00000176">
        <w:rPr>
          <w:rFonts w:ascii="Times New Roman" w:hAnsi="Times New Roman" w:cs="Times New Roman"/>
          <w:sz w:val="24"/>
          <w:szCs w:val="24"/>
        </w:rPr>
        <w:t xml:space="preserve"> financial mechanisms to support the </w:t>
      </w:r>
      <w:r w:rsidR="006033F6" w:rsidRPr="00000176">
        <w:rPr>
          <w:rFonts w:ascii="Times New Roman" w:hAnsi="Times New Roman" w:cs="Times New Roman"/>
          <w:sz w:val="24"/>
          <w:szCs w:val="24"/>
        </w:rPr>
        <w:t>mobilisation of investments</w:t>
      </w:r>
      <w:r w:rsidRPr="00000176">
        <w:rPr>
          <w:rFonts w:ascii="Times New Roman" w:hAnsi="Times New Roman" w:cs="Times New Roman"/>
          <w:sz w:val="24"/>
          <w:szCs w:val="24"/>
        </w:rPr>
        <w:t>. There are a multitude of examples which can serve as inspiration. One</w:t>
      </w:r>
      <w:r w:rsidR="00DF02D8" w:rsidRPr="00000176">
        <w:rPr>
          <w:rFonts w:ascii="Times New Roman" w:hAnsi="Times New Roman" w:cs="Times New Roman"/>
          <w:sz w:val="24"/>
          <w:szCs w:val="24"/>
        </w:rPr>
        <w:t xml:space="preserve"> relevant source of examples of successful schemes </w:t>
      </w:r>
      <w:r w:rsidRPr="00000176">
        <w:rPr>
          <w:rFonts w:ascii="Times New Roman" w:hAnsi="Times New Roman" w:cs="Times New Roman"/>
          <w:sz w:val="24"/>
          <w:szCs w:val="24"/>
        </w:rPr>
        <w:t>is</w:t>
      </w:r>
      <w:r w:rsidR="00DF02D8" w:rsidRPr="00000176">
        <w:rPr>
          <w:rFonts w:ascii="Times New Roman" w:hAnsi="Times New Roman" w:cs="Times New Roman"/>
          <w:sz w:val="24"/>
          <w:szCs w:val="24"/>
        </w:rPr>
        <w:t xml:space="preserve"> </w:t>
      </w:r>
      <w:r w:rsidR="004D0ADB">
        <w:rPr>
          <w:rFonts w:ascii="Times New Roman" w:hAnsi="Times New Roman" w:cs="Times New Roman"/>
          <w:sz w:val="24"/>
          <w:szCs w:val="24"/>
        </w:rPr>
        <w:t>C</w:t>
      </w:r>
      <w:r w:rsidR="00E50B7E" w:rsidRPr="00000176">
        <w:rPr>
          <w:rFonts w:ascii="Times New Roman" w:hAnsi="Times New Roman" w:cs="Times New Roman"/>
          <w:sz w:val="24"/>
          <w:szCs w:val="24"/>
        </w:rPr>
        <w:t xml:space="preserve">hapter 7 of </w:t>
      </w:r>
      <w:r w:rsidR="00DF02D8" w:rsidRPr="00000176">
        <w:rPr>
          <w:rFonts w:ascii="Times New Roman" w:hAnsi="Times New Roman" w:cs="Times New Roman"/>
          <w:sz w:val="24"/>
          <w:szCs w:val="24"/>
        </w:rPr>
        <w:t xml:space="preserve">the Good practice document on energy efficiency </w:t>
      </w:r>
      <w:r w:rsidRPr="00000176">
        <w:rPr>
          <w:rFonts w:ascii="Times New Roman" w:hAnsi="Times New Roman" w:cs="Times New Roman"/>
          <w:sz w:val="24"/>
          <w:szCs w:val="24"/>
        </w:rPr>
        <w:t>which was published together</w:t>
      </w:r>
      <w:r w:rsidR="00DF02D8" w:rsidRPr="00000176">
        <w:rPr>
          <w:rFonts w:ascii="Times New Roman" w:hAnsi="Times New Roman" w:cs="Times New Roman"/>
          <w:sz w:val="24"/>
          <w:szCs w:val="24"/>
        </w:rPr>
        <w:t xml:space="preserve"> with the Clean Energy Package in November 2016 (</w:t>
      </w:r>
      <w:proofErr w:type="gramStart"/>
      <w:r w:rsidR="00DF02D8" w:rsidRPr="00000176">
        <w:rPr>
          <w:rFonts w:ascii="Times New Roman" w:hAnsi="Times New Roman" w:cs="Times New Roman"/>
          <w:sz w:val="24"/>
          <w:szCs w:val="24"/>
        </w:rPr>
        <w:t>SWD(</w:t>
      </w:r>
      <w:proofErr w:type="gramEnd"/>
      <w:r w:rsidR="00DF02D8" w:rsidRPr="00000176">
        <w:rPr>
          <w:rFonts w:ascii="Times New Roman" w:hAnsi="Times New Roman" w:cs="Times New Roman"/>
          <w:sz w:val="24"/>
          <w:szCs w:val="24"/>
        </w:rPr>
        <w:t>2016) 404 final</w:t>
      </w:r>
      <w:r w:rsidR="009A0F1D">
        <w:rPr>
          <w:rFonts w:ascii="Times New Roman" w:hAnsi="Times New Roman" w:cs="Times New Roman"/>
          <w:sz w:val="24"/>
          <w:szCs w:val="24"/>
        </w:rPr>
        <w:t>.</w:t>
      </w:r>
      <w:r w:rsidR="00DF02D8" w:rsidRPr="00000176">
        <w:rPr>
          <w:rStyle w:val="FootnoteReference"/>
          <w:rFonts w:ascii="Times New Roman" w:hAnsi="Times New Roman" w:cs="Times New Roman"/>
          <w:sz w:val="24"/>
          <w:szCs w:val="24"/>
        </w:rPr>
        <w:footnoteReference w:id="22"/>
      </w:r>
    </w:p>
    <w:p w14:paraId="5D0A0CA0" w14:textId="77777777" w:rsidR="006E550F" w:rsidRDefault="006E550F" w:rsidP="00A41FD8">
      <w:pPr>
        <w:pStyle w:val="Heading1"/>
        <w:numPr>
          <w:ilvl w:val="0"/>
          <w:numId w:val="0"/>
        </w:numPr>
        <w:spacing w:before="0" w:after="0" w:line="276" w:lineRule="auto"/>
      </w:pPr>
      <w:r>
        <w:br w:type="page"/>
      </w:r>
    </w:p>
    <w:p w14:paraId="015EF854" w14:textId="77777777" w:rsidR="00465BEE" w:rsidRPr="00000176" w:rsidRDefault="00465BEE" w:rsidP="00CE6267">
      <w:pPr>
        <w:pStyle w:val="Heading1"/>
        <w:spacing w:before="0" w:after="0" w:line="276" w:lineRule="auto"/>
        <w:rPr>
          <w:szCs w:val="24"/>
        </w:rPr>
      </w:pPr>
      <w:bookmarkStart w:id="57" w:name="_Toc523437064"/>
      <w:bookmarkStart w:id="58" w:name="_Toc523745757"/>
      <w:bookmarkStart w:id="59" w:name="_Toc523437065"/>
      <w:bookmarkStart w:id="60" w:name="_Toc523745758"/>
      <w:bookmarkStart w:id="61" w:name="_Toc523437066"/>
      <w:bookmarkStart w:id="62" w:name="_Toc523745759"/>
      <w:bookmarkStart w:id="63" w:name="_Toc523437067"/>
      <w:bookmarkStart w:id="64" w:name="_Toc523745760"/>
      <w:bookmarkStart w:id="65" w:name="_Toc523437068"/>
      <w:bookmarkStart w:id="66" w:name="_Toc523745761"/>
      <w:bookmarkStart w:id="67" w:name="_Toc523437069"/>
      <w:bookmarkStart w:id="68" w:name="_Toc523745762"/>
      <w:bookmarkStart w:id="69" w:name="_Toc523437070"/>
      <w:bookmarkStart w:id="70" w:name="_Toc523745763"/>
      <w:bookmarkStart w:id="71" w:name="_Toc523437071"/>
      <w:bookmarkStart w:id="72" w:name="_Toc523745764"/>
      <w:bookmarkStart w:id="73" w:name="_Toc523437072"/>
      <w:bookmarkStart w:id="74" w:name="_Toc523745765"/>
      <w:bookmarkStart w:id="75" w:name="_Toc523437073"/>
      <w:bookmarkStart w:id="76" w:name="_Toc523745766"/>
      <w:bookmarkStart w:id="77" w:name="_Toc515369521"/>
      <w:bookmarkStart w:id="78" w:name="_Toc515369543"/>
      <w:bookmarkStart w:id="79" w:name="_Toc515369523"/>
      <w:bookmarkStart w:id="80" w:name="_Toc515369545"/>
      <w:bookmarkStart w:id="81" w:name="_Toc52434059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00176">
        <w:rPr>
          <w:szCs w:val="24"/>
        </w:rPr>
        <w:lastRenderedPageBreak/>
        <w:t>ISSUES RELATED TO GOVERNANCE / DEADLINES FOR REPORTING</w:t>
      </w:r>
      <w:bookmarkEnd w:id="81"/>
    </w:p>
    <w:p w14:paraId="361F0D25" w14:textId="2CE62440" w:rsidR="001F5CFC" w:rsidRPr="002162F8" w:rsidRDefault="00CF113C" w:rsidP="00CE6267">
      <w:pPr>
        <w:spacing w:after="0"/>
        <w:rPr>
          <w:rFonts w:ascii="Times New Roman" w:hAnsi="Times New Roman" w:cs="Times New Roman"/>
          <w:i/>
          <w:spacing w:val="-2"/>
          <w:position w:val="-2"/>
          <w:sz w:val="24"/>
          <w:szCs w:val="24"/>
        </w:rPr>
      </w:pPr>
      <w:r>
        <w:rPr>
          <w:rFonts w:ascii="Times New Roman" w:hAnsi="Times New Roman" w:cs="Times New Roman"/>
          <w:i/>
          <w:spacing w:val="-2"/>
          <w:position w:val="-2"/>
          <w:sz w:val="24"/>
          <w:szCs w:val="24"/>
        </w:rPr>
        <w:t>[</w:t>
      </w:r>
      <w:r w:rsidR="001F5CFC" w:rsidRPr="001F5CFC">
        <w:rPr>
          <w:rFonts w:ascii="Times New Roman" w:hAnsi="Times New Roman" w:cs="Times New Roman"/>
          <w:i/>
          <w:spacing w:val="-2"/>
          <w:position w:val="-2"/>
          <w:sz w:val="24"/>
          <w:szCs w:val="24"/>
        </w:rPr>
        <w:t>To be completed/updated once the final text is approved.</w:t>
      </w:r>
      <w:r>
        <w:rPr>
          <w:rFonts w:ascii="Times New Roman" w:hAnsi="Times New Roman" w:cs="Times New Roman"/>
          <w:i/>
          <w:spacing w:val="-2"/>
          <w:position w:val="-2"/>
          <w:sz w:val="24"/>
          <w:szCs w:val="24"/>
        </w:rPr>
        <w:t>]</w:t>
      </w:r>
    </w:p>
    <w:p w14:paraId="527A2F0F" w14:textId="77777777" w:rsidR="00A41FD8" w:rsidRDefault="00A41FD8" w:rsidP="00CE6267">
      <w:pPr>
        <w:spacing w:after="0"/>
        <w:jc w:val="both"/>
        <w:rPr>
          <w:rFonts w:ascii="Times New Roman" w:hAnsi="Times New Roman" w:cs="Times New Roman"/>
          <w:sz w:val="24"/>
          <w:szCs w:val="24"/>
        </w:rPr>
      </w:pPr>
    </w:p>
    <w:p w14:paraId="4A619817" w14:textId="62BBBFAF" w:rsidR="00BB68F2" w:rsidRPr="00000176" w:rsidRDefault="00BB68F2"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In June 2018</w:t>
      </w:r>
      <w:r w:rsidR="006A7377">
        <w:rPr>
          <w:rFonts w:ascii="Times New Roman" w:hAnsi="Times New Roman" w:cs="Times New Roman"/>
          <w:sz w:val="24"/>
          <w:szCs w:val="24"/>
        </w:rPr>
        <w:t>,</w:t>
      </w:r>
      <w:r w:rsidRPr="00000176">
        <w:rPr>
          <w:rFonts w:ascii="Times New Roman" w:hAnsi="Times New Roman" w:cs="Times New Roman"/>
          <w:sz w:val="24"/>
          <w:szCs w:val="24"/>
        </w:rPr>
        <w:t xml:space="preserve"> co-legislators found a provisional agreement on the Energy Union Governance Regulation</w:t>
      </w:r>
      <w:r w:rsidRPr="00000176">
        <w:rPr>
          <w:rStyle w:val="FootnoteReference"/>
          <w:rFonts w:ascii="Times New Roman" w:hAnsi="Times New Roman" w:cs="Times New Roman"/>
          <w:sz w:val="24"/>
          <w:szCs w:val="24"/>
        </w:rPr>
        <w:footnoteReference w:id="23"/>
      </w:r>
      <w:r w:rsidRPr="00000176">
        <w:rPr>
          <w:rFonts w:ascii="Times New Roman" w:hAnsi="Times New Roman" w:cs="Times New Roman"/>
          <w:sz w:val="24"/>
          <w:szCs w:val="24"/>
        </w:rPr>
        <w:t xml:space="preserve">. According to this agreement, the long-term renovation strategies must be submitted to the Commission as part of the final integrated national energy and climate plan. </w:t>
      </w:r>
      <w:proofErr w:type="gramStart"/>
      <w:r w:rsidRPr="00000176">
        <w:rPr>
          <w:rFonts w:ascii="Times New Roman" w:hAnsi="Times New Roman" w:cs="Times New Roman"/>
          <w:sz w:val="24"/>
          <w:szCs w:val="24"/>
        </w:rPr>
        <w:t>In particular, Member</w:t>
      </w:r>
      <w:proofErr w:type="gramEnd"/>
      <w:r w:rsidRPr="00000176">
        <w:rPr>
          <w:rFonts w:ascii="Times New Roman" w:hAnsi="Times New Roman" w:cs="Times New Roman"/>
          <w:sz w:val="24"/>
          <w:szCs w:val="24"/>
        </w:rPr>
        <w:t xml:space="preserve"> States must:</w:t>
      </w:r>
    </w:p>
    <w:p w14:paraId="1D1485B2" w14:textId="77777777" w:rsidR="00BB68F2" w:rsidRPr="00000176" w:rsidRDefault="00BB68F2"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prepare and submit to the Commission a draft of their integrated national energy and climate plans by 31 December 2018, and subsequently by 1 January 2028 and every ten years thereafter, and </w:t>
      </w:r>
    </w:p>
    <w:p w14:paraId="3759C140" w14:textId="77777777" w:rsidR="00BB68F2" w:rsidRPr="00000176" w:rsidRDefault="00BB68F2" w:rsidP="00231B0D">
      <w:pPr>
        <w:pStyle w:val="ListParagraph"/>
        <w:numPr>
          <w:ilvl w:val="0"/>
          <w:numId w:val="9"/>
        </w:numPr>
        <w:spacing w:after="0"/>
        <w:jc w:val="both"/>
        <w:rPr>
          <w:rFonts w:ascii="Times New Roman" w:hAnsi="Times New Roman" w:cs="Times New Roman"/>
          <w:sz w:val="24"/>
          <w:szCs w:val="24"/>
        </w:rPr>
      </w:pPr>
      <w:r w:rsidRPr="00000176">
        <w:rPr>
          <w:rFonts w:ascii="Times New Roman" w:hAnsi="Times New Roman" w:cs="Times New Roman"/>
          <w:sz w:val="24"/>
          <w:szCs w:val="24"/>
        </w:rPr>
        <w:t>notify to the Commission their integrated national energy and climate plans by 31 December 2019, and subsequently by 1 January 2029 and every ten years thereafter.</w:t>
      </w:r>
    </w:p>
    <w:p w14:paraId="3799B2AC" w14:textId="77777777" w:rsidR="00A41FD8" w:rsidRDefault="00A41FD8" w:rsidP="00CE6267">
      <w:pPr>
        <w:spacing w:after="0"/>
        <w:jc w:val="both"/>
        <w:rPr>
          <w:rFonts w:ascii="Times New Roman" w:hAnsi="Times New Roman" w:cs="Times New Roman"/>
          <w:sz w:val="24"/>
          <w:szCs w:val="24"/>
        </w:rPr>
      </w:pPr>
    </w:p>
    <w:p w14:paraId="095787F3" w14:textId="5E914601" w:rsidR="00BB68F2" w:rsidRDefault="00BB68F2"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However, the </w:t>
      </w:r>
      <w:proofErr w:type="gramStart"/>
      <w:r w:rsidRPr="00000176">
        <w:rPr>
          <w:rFonts w:ascii="Times New Roman" w:hAnsi="Times New Roman" w:cs="Times New Roman"/>
          <w:sz w:val="24"/>
          <w:szCs w:val="24"/>
        </w:rPr>
        <w:t>above mentioned</w:t>
      </w:r>
      <w:proofErr w:type="gramEnd"/>
      <w:r w:rsidRPr="00000176">
        <w:rPr>
          <w:rFonts w:ascii="Times New Roman" w:hAnsi="Times New Roman" w:cs="Times New Roman"/>
          <w:sz w:val="24"/>
          <w:szCs w:val="24"/>
        </w:rPr>
        <w:t xml:space="preserve"> deadlines were not aligned with the revised EPBD, in particular ensuring adequate time </w:t>
      </w:r>
      <w:r w:rsidR="00D8216D">
        <w:rPr>
          <w:rFonts w:ascii="Times New Roman" w:hAnsi="Times New Roman" w:cs="Times New Roman"/>
          <w:sz w:val="24"/>
          <w:szCs w:val="24"/>
        </w:rPr>
        <w:t>for</w:t>
      </w:r>
      <w:r w:rsidRPr="00000176">
        <w:rPr>
          <w:rFonts w:ascii="Times New Roman" w:hAnsi="Times New Roman" w:cs="Times New Roman"/>
          <w:sz w:val="24"/>
          <w:szCs w:val="24"/>
        </w:rPr>
        <w:t xml:space="preserve"> Member States (by the transposition deadline, 10 March 2020) to prepare and submit their long-term renovation strategies.</w:t>
      </w:r>
    </w:p>
    <w:p w14:paraId="00BD1CBB" w14:textId="77777777" w:rsidR="007245B5" w:rsidRPr="00000176" w:rsidRDefault="007245B5" w:rsidP="00CE6267">
      <w:pPr>
        <w:spacing w:after="0"/>
        <w:jc w:val="both"/>
        <w:rPr>
          <w:rFonts w:ascii="Times New Roman" w:hAnsi="Times New Roman" w:cs="Times New Roman"/>
          <w:sz w:val="24"/>
          <w:szCs w:val="24"/>
        </w:rPr>
      </w:pPr>
    </w:p>
    <w:p w14:paraId="7E0724A1" w14:textId="77777777" w:rsidR="00BB68F2" w:rsidRPr="00000176" w:rsidRDefault="00BB68F2"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For that reason, the provisional political agreement on the Energy Union Governance Regulation explicitly states that:</w:t>
      </w:r>
    </w:p>
    <w:p w14:paraId="73152CE5" w14:textId="6D6E5DA2" w:rsidR="00BB68F2" w:rsidRPr="00231B0D" w:rsidRDefault="00BB68F2"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 xml:space="preserve">the long-term renovation strategies shall be part only of the </w:t>
      </w:r>
      <w:proofErr w:type="spellStart"/>
      <w:r w:rsidRPr="00231B0D">
        <w:rPr>
          <w:rFonts w:ascii="Times New Roman" w:hAnsi="Times New Roman" w:cs="Times New Roman"/>
          <w:color w:val="000000"/>
          <w:sz w:val="24"/>
          <w:szCs w:val="24"/>
        </w:rPr>
        <w:t>the</w:t>
      </w:r>
      <w:proofErr w:type="spellEnd"/>
      <w:r w:rsidRPr="00231B0D">
        <w:rPr>
          <w:rFonts w:ascii="Times New Roman" w:hAnsi="Times New Roman" w:cs="Times New Roman"/>
          <w:color w:val="000000"/>
          <w:sz w:val="24"/>
          <w:szCs w:val="24"/>
        </w:rPr>
        <w:t xml:space="preserve"> final (and not the draft) integrated national energy and climate plans</w:t>
      </w:r>
      <w:r w:rsidR="00995991">
        <w:rPr>
          <w:rFonts w:ascii="Times New Roman" w:hAnsi="Times New Roman" w:cs="Times New Roman"/>
          <w:color w:val="000000"/>
          <w:sz w:val="24"/>
          <w:szCs w:val="24"/>
        </w:rPr>
        <w:t>;</w:t>
      </w:r>
      <w:r w:rsidRPr="00231B0D">
        <w:rPr>
          <w:rFonts w:ascii="Times New Roman" w:hAnsi="Times New Roman" w:cs="Times New Roman"/>
          <w:color w:val="000000"/>
          <w:sz w:val="24"/>
          <w:szCs w:val="24"/>
        </w:rPr>
        <w:t xml:space="preserve"> and</w:t>
      </w:r>
    </w:p>
    <w:p w14:paraId="0E684980" w14:textId="1B7F650B" w:rsidR="00BB68F2" w:rsidRPr="00231B0D" w:rsidRDefault="00BB68F2"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the first long-term renovation strategy, as revised with the Directive 2018/844/EU, shall be submitted to the Commission by 10 March 2020, namely the transpo</w:t>
      </w:r>
      <w:r w:rsidR="004E5D6F" w:rsidRPr="00231B0D">
        <w:rPr>
          <w:rFonts w:ascii="Times New Roman" w:hAnsi="Times New Roman" w:cs="Times New Roman"/>
          <w:color w:val="000000"/>
          <w:sz w:val="24"/>
          <w:szCs w:val="24"/>
        </w:rPr>
        <w:t>si</w:t>
      </w:r>
      <w:r w:rsidRPr="00231B0D">
        <w:rPr>
          <w:rFonts w:ascii="Times New Roman" w:hAnsi="Times New Roman" w:cs="Times New Roman"/>
          <w:color w:val="000000"/>
          <w:sz w:val="24"/>
          <w:szCs w:val="24"/>
        </w:rPr>
        <w:t>tion deadline for Directive</w:t>
      </w:r>
      <w:r w:rsidR="004E5D6F" w:rsidRPr="00231B0D">
        <w:rPr>
          <w:rFonts w:ascii="Times New Roman" w:hAnsi="Times New Roman" w:cs="Times New Roman"/>
          <w:color w:val="000000"/>
          <w:sz w:val="24"/>
          <w:szCs w:val="24"/>
        </w:rPr>
        <w:t xml:space="preserve"> (EU)</w:t>
      </w:r>
      <w:r w:rsidRPr="00231B0D">
        <w:rPr>
          <w:rFonts w:ascii="Times New Roman" w:hAnsi="Times New Roman" w:cs="Times New Roman"/>
          <w:color w:val="000000"/>
          <w:sz w:val="24"/>
          <w:szCs w:val="24"/>
        </w:rPr>
        <w:t xml:space="preserve"> 2018/844.</w:t>
      </w:r>
    </w:p>
    <w:p w14:paraId="1E684D9F" w14:textId="77777777" w:rsidR="00A41FD8" w:rsidRPr="00231B0D" w:rsidRDefault="00A41FD8" w:rsidP="002B1178">
      <w:pPr>
        <w:pStyle w:val="ListParagraph"/>
        <w:spacing w:after="0"/>
        <w:ind w:left="1211"/>
        <w:jc w:val="both"/>
        <w:rPr>
          <w:rFonts w:ascii="Times New Roman" w:hAnsi="Times New Roman" w:cs="Times New Roman"/>
          <w:color w:val="000000"/>
          <w:sz w:val="24"/>
          <w:szCs w:val="24"/>
        </w:rPr>
      </w:pPr>
    </w:p>
    <w:p w14:paraId="77ED3FBA" w14:textId="5E945509" w:rsidR="00BB68F2" w:rsidRPr="00000176" w:rsidRDefault="00BB68F2"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The final text of the Energy Union Governance Regulation is not yet finalised and approved, but some points can already be mentioned. In particular:</w:t>
      </w:r>
    </w:p>
    <w:p w14:paraId="63B2C5EB" w14:textId="77777777" w:rsidR="00BB68F2" w:rsidRPr="00231B0D" w:rsidRDefault="00BB68F2"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Each Member State must set out in its integrated national energy and climate plan the indicative milestones of the long-term strategy for the renovation of the national stock of residential and non-residential buildings, both public and private, the roadmap with domestically established measurable progress indicators, an evidence-based estimate of expected energy savings and wider benefits, and the contributions to the Union's energy efficiency targets pursuant to Directive 2012/27/EU in accordance with Article 2a of the revised EPBD.</w:t>
      </w:r>
    </w:p>
    <w:p w14:paraId="5C5FB23E" w14:textId="77777777" w:rsidR="00BB68F2" w:rsidRPr="00231B0D" w:rsidRDefault="00BB68F2"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 xml:space="preserve">Member States must include in the integrated national energy and climate progress reports the information the indicative milestones of the long-term strategy for the renovation of the national stock </w:t>
      </w:r>
      <w:proofErr w:type="gramStart"/>
      <w:r w:rsidRPr="00231B0D">
        <w:rPr>
          <w:rFonts w:ascii="Times New Roman" w:hAnsi="Times New Roman" w:cs="Times New Roman"/>
          <w:color w:val="000000"/>
          <w:sz w:val="24"/>
          <w:szCs w:val="24"/>
        </w:rPr>
        <w:t>of  residential</w:t>
      </w:r>
      <w:proofErr w:type="gramEnd"/>
      <w:r w:rsidRPr="00231B0D">
        <w:rPr>
          <w:rFonts w:ascii="Times New Roman" w:hAnsi="Times New Roman" w:cs="Times New Roman"/>
          <w:color w:val="000000"/>
          <w:sz w:val="24"/>
          <w:szCs w:val="24"/>
        </w:rPr>
        <w:t xml:space="preserve"> and non-residential buildings, both </w:t>
      </w:r>
      <w:r w:rsidRPr="00231B0D">
        <w:rPr>
          <w:rFonts w:ascii="Times New Roman" w:hAnsi="Times New Roman" w:cs="Times New Roman"/>
          <w:color w:val="000000"/>
          <w:sz w:val="24"/>
          <w:szCs w:val="24"/>
        </w:rPr>
        <w:lastRenderedPageBreak/>
        <w:t>public and private, and the contributions to the Union's energy efficiency targets pursuant to Directive 2012/27/EU in accordance with Article 2a of the revised EPBD.</w:t>
      </w:r>
    </w:p>
    <w:p w14:paraId="22769E23" w14:textId="77777777" w:rsidR="00A41FD8" w:rsidRDefault="00A41FD8" w:rsidP="00CE6267">
      <w:pPr>
        <w:spacing w:after="0"/>
        <w:rPr>
          <w:rFonts w:ascii="Times New Roman" w:hAnsi="Times New Roman" w:cs="Times New Roman"/>
          <w:spacing w:val="-2"/>
          <w:position w:val="-2"/>
          <w:sz w:val="24"/>
          <w:szCs w:val="24"/>
        </w:rPr>
      </w:pPr>
    </w:p>
    <w:p w14:paraId="3AD34BE0" w14:textId="7B8F35B6" w:rsidR="00BB68F2" w:rsidRPr="00000176" w:rsidRDefault="00BB68F2" w:rsidP="00CE6267">
      <w:pPr>
        <w:spacing w:after="0"/>
        <w:rPr>
          <w:rFonts w:ascii="Times New Roman" w:hAnsi="Times New Roman" w:cs="Times New Roman"/>
          <w:spacing w:val="-2"/>
          <w:position w:val="-2"/>
          <w:sz w:val="24"/>
          <w:szCs w:val="24"/>
        </w:rPr>
      </w:pPr>
      <w:r w:rsidRPr="00000176">
        <w:rPr>
          <w:rFonts w:ascii="Times New Roman" w:hAnsi="Times New Roman" w:cs="Times New Roman"/>
          <w:spacing w:val="-2"/>
          <w:position w:val="-2"/>
          <w:sz w:val="24"/>
          <w:szCs w:val="24"/>
        </w:rPr>
        <w:t>In addition, the Energy Union Governance Regulation includes an Annex providing the general framework for the integrated national energy and climate plans:</w:t>
      </w:r>
    </w:p>
    <w:p w14:paraId="5712A20C" w14:textId="400C7DE1" w:rsidR="00BB68F2" w:rsidRPr="00231B0D" w:rsidRDefault="00BB68F2"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Under the section describing the national objectives and targets for the energy efficiency dimen</w:t>
      </w:r>
      <w:r w:rsidR="00320F56" w:rsidRPr="00231B0D">
        <w:rPr>
          <w:rFonts w:ascii="Times New Roman" w:hAnsi="Times New Roman" w:cs="Times New Roman"/>
          <w:color w:val="000000"/>
          <w:sz w:val="24"/>
          <w:szCs w:val="24"/>
        </w:rPr>
        <w:t>sion</w:t>
      </w:r>
      <w:r w:rsidRPr="00231B0D">
        <w:rPr>
          <w:rFonts w:ascii="Times New Roman" w:hAnsi="Times New Roman" w:cs="Times New Roman"/>
          <w:color w:val="000000"/>
          <w:sz w:val="24"/>
          <w:szCs w:val="24"/>
        </w:rPr>
        <w:t>, Member States must, among others, include the indicative milestones for 2030, 2040 and 2050, the domestically established measurable progress indicators and their contributions to the Union's energy efficiency targets as included in the roadmaps set out in the long-term renovation strategies for the national stock of residential and non-residential buildings, both public and private, in accordance with Article 2a of the revised EPBD.</w:t>
      </w:r>
    </w:p>
    <w:p w14:paraId="00DF7FC1" w14:textId="77777777" w:rsidR="00BB68F2" w:rsidRPr="00231B0D" w:rsidRDefault="00BB68F2"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 xml:space="preserve">Under the section describing the policies and measures for the energy efficiency dimension, Member States must, among others, include the long-term renovation strategy to support the renovation of the national stock of residential and non-residential buildings, both public and private, including policies, measures and actions to stimulate cost-effective deep renovation and policies and actions to target the worst performing segments of the national building stock, in accordance with Article 2a of the revised EPBD. </w:t>
      </w:r>
    </w:p>
    <w:p w14:paraId="1934B6FA" w14:textId="77777777" w:rsidR="00BB68F2" w:rsidRPr="00000176" w:rsidRDefault="00BB68F2" w:rsidP="00CE6267">
      <w:pPr>
        <w:pStyle w:val="ListParagraph"/>
        <w:spacing w:after="0"/>
        <w:jc w:val="both"/>
        <w:rPr>
          <w:rFonts w:ascii="Times New Roman" w:hAnsi="Times New Roman" w:cs="Times New Roman"/>
          <w:spacing w:val="-2"/>
          <w:position w:val="-2"/>
          <w:sz w:val="24"/>
          <w:szCs w:val="24"/>
        </w:rPr>
      </w:pPr>
    </w:p>
    <w:p w14:paraId="6996A03A" w14:textId="77777777" w:rsidR="00465BEE" w:rsidRPr="00000176" w:rsidRDefault="00465BEE" w:rsidP="00CE6267">
      <w:pPr>
        <w:spacing w:after="0"/>
        <w:jc w:val="both"/>
        <w:rPr>
          <w:rFonts w:ascii="Times New Roman" w:hAnsi="Times New Roman" w:cs="Times New Roman"/>
          <w:spacing w:val="-2"/>
          <w:position w:val="-2"/>
          <w:sz w:val="24"/>
          <w:szCs w:val="24"/>
        </w:rPr>
      </w:pPr>
    </w:p>
    <w:p w14:paraId="7A9BA96B" w14:textId="77777777" w:rsidR="009A0F1D" w:rsidRDefault="009A0F1D" w:rsidP="00CE6267">
      <w:pPr>
        <w:spacing w:after="0"/>
        <w:rPr>
          <w:rFonts w:ascii="Times New Roman" w:eastAsia="Times New Roman" w:hAnsi="Times New Roman" w:cs="Times New Roman"/>
          <w:b/>
          <w:smallCaps/>
          <w:sz w:val="24"/>
          <w:szCs w:val="24"/>
          <w:lang w:eastAsia="fr-BE"/>
        </w:rPr>
      </w:pPr>
      <w:r>
        <w:rPr>
          <w:szCs w:val="24"/>
        </w:rPr>
        <w:br w:type="page"/>
      </w:r>
    </w:p>
    <w:p w14:paraId="18A89D23" w14:textId="50836262" w:rsidR="00146F1A" w:rsidRDefault="00146F1A" w:rsidP="00CE6267">
      <w:pPr>
        <w:pStyle w:val="Heading1"/>
        <w:spacing w:before="0" w:after="0" w:line="276" w:lineRule="auto"/>
        <w:rPr>
          <w:szCs w:val="24"/>
        </w:rPr>
      </w:pPr>
      <w:bookmarkStart w:id="82" w:name="_Toc524340598"/>
      <w:r>
        <w:rPr>
          <w:szCs w:val="24"/>
        </w:rPr>
        <w:lastRenderedPageBreak/>
        <w:t>GUIDANCE ON GOOD PRACTICES FOR IMPLEMENTING THE OBLIGATIONS OF ARTICLE 2A</w:t>
      </w:r>
      <w:bookmarkEnd w:id="82"/>
    </w:p>
    <w:p w14:paraId="4915C126" w14:textId="77777777" w:rsidR="00E4237A" w:rsidRDefault="00E4237A" w:rsidP="00CE6267">
      <w:pPr>
        <w:spacing w:after="0"/>
        <w:jc w:val="both"/>
        <w:rPr>
          <w:rFonts w:ascii="Times New Roman" w:hAnsi="Times New Roman" w:cs="Times New Roman"/>
          <w:sz w:val="24"/>
          <w:szCs w:val="24"/>
        </w:rPr>
      </w:pPr>
    </w:p>
    <w:p w14:paraId="4D73BEE3" w14:textId="6BFCFB3B" w:rsidR="004D3AD9" w:rsidRDefault="004D3AD9" w:rsidP="00CE6267">
      <w:pPr>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section sets out guidance on good practices for implementing the obligations set out in Article 2a. </w:t>
      </w:r>
      <w:r w:rsidR="00231B0D">
        <w:rPr>
          <w:rFonts w:ascii="Times New Roman" w:hAnsi="Times New Roman" w:cs="Times New Roman"/>
          <w:sz w:val="24"/>
          <w:szCs w:val="24"/>
        </w:rPr>
        <w:t>It follows the structure of the previous section.</w:t>
      </w:r>
    </w:p>
    <w:p w14:paraId="629F9BD4" w14:textId="77777777" w:rsidR="00E4237A" w:rsidRDefault="00E4237A" w:rsidP="00CE6267">
      <w:pPr>
        <w:spacing w:after="0"/>
        <w:jc w:val="both"/>
        <w:rPr>
          <w:rFonts w:ascii="Times New Roman" w:hAnsi="Times New Roman" w:cs="Times New Roman"/>
          <w:sz w:val="24"/>
          <w:szCs w:val="24"/>
        </w:rPr>
      </w:pPr>
    </w:p>
    <w:p w14:paraId="7CDF7D89" w14:textId="2B85F77A" w:rsidR="00CF113C" w:rsidRPr="00CF113C" w:rsidRDefault="00CF113C" w:rsidP="00CE6267">
      <w:pPr>
        <w:spacing w:after="0"/>
        <w:jc w:val="both"/>
        <w:rPr>
          <w:rFonts w:ascii="Times New Roman" w:hAnsi="Times New Roman" w:cs="Times New Roman"/>
          <w:sz w:val="24"/>
          <w:szCs w:val="24"/>
        </w:rPr>
      </w:pPr>
      <w:r w:rsidRPr="00CF113C">
        <w:rPr>
          <w:rFonts w:ascii="Times New Roman" w:hAnsi="Times New Roman" w:cs="Times New Roman"/>
          <w:sz w:val="24"/>
          <w:szCs w:val="24"/>
        </w:rPr>
        <w:t xml:space="preserve">The building renovation strategies submitted by Member States in 2014 and 2017 under Article 4 of the EED will be the building blocks for future LTRS. </w:t>
      </w:r>
    </w:p>
    <w:p w14:paraId="202A09BB" w14:textId="77777777" w:rsidR="00E4237A" w:rsidRDefault="00E4237A" w:rsidP="00CE6267">
      <w:pPr>
        <w:spacing w:after="0"/>
        <w:jc w:val="both"/>
        <w:rPr>
          <w:rFonts w:ascii="Times New Roman" w:hAnsi="Times New Roman" w:cs="Times New Roman"/>
          <w:sz w:val="24"/>
          <w:szCs w:val="24"/>
        </w:rPr>
      </w:pPr>
    </w:p>
    <w:p w14:paraId="48D6DC79" w14:textId="2E45B438" w:rsidR="00CF113C" w:rsidRDefault="00CF113C" w:rsidP="00CE6267">
      <w:pPr>
        <w:spacing w:after="0"/>
        <w:jc w:val="both"/>
        <w:rPr>
          <w:rFonts w:ascii="Times New Roman" w:hAnsi="Times New Roman" w:cs="Times New Roman"/>
          <w:sz w:val="24"/>
          <w:szCs w:val="24"/>
        </w:rPr>
      </w:pPr>
      <w:r w:rsidRPr="00CF113C">
        <w:rPr>
          <w:rFonts w:ascii="Times New Roman" w:hAnsi="Times New Roman" w:cs="Times New Roman"/>
          <w:sz w:val="24"/>
          <w:szCs w:val="24"/>
        </w:rPr>
        <w:t>Guidance for National Energy Efficiency Action Plans (hereafter referred to as "the NEEAP Guidance") already included detailed indications on certain elements to be elaborated in building renovation strategies</w:t>
      </w:r>
      <w:r w:rsidR="00307820">
        <w:rPr>
          <w:rFonts w:ascii="Times New Roman" w:hAnsi="Times New Roman" w:cs="Times New Roman"/>
          <w:sz w:val="24"/>
          <w:szCs w:val="24"/>
        </w:rPr>
        <w:t xml:space="preserve"> – r</w:t>
      </w:r>
      <w:r w:rsidRPr="00CF113C">
        <w:rPr>
          <w:rFonts w:ascii="Times New Roman" w:hAnsi="Times New Roman" w:cs="Times New Roman"/>
          <w:sz w:val="24"/>
          <w:szCs w:val="24"/>
        </w:rPr>
        <w:t>elevant</w:t>
      </w:r>
      <w:r w:rsidR="00307820">
        <w:rPr>
          <w:rFonts w:ascii="Times New Roman" w:hAnsi="Times New Roman" w:cs="Times New Roman"/>
          <w:sz w:val="24"/>
          <w:szCs w:val="24"/>
        </w:rPr>
        <w:t xml:space="preserve"> </w:t>
      </w:r>
      <w:r w:rsidRPr="00CF113C">
        <w:rPr>
          <w:rFonts w:ascii="Times New Roman" w:hAnsi="Times New Roman" w:cs="Times New Roman"/>
          <w:sz w:val="24"/>
          <w:szCs w:val="24"/>
        </w:rPr>
        <w:t>sections will be mentioned below.</w:t>
      </w:r>
    </w:p>
    <w:p w14:paraId="07C40C20" w14:textId="77777777" w:rsidR="00E4237A" w:rsidRPr="00CF113C" w:rsidRDefault="00E4237A" w:rsidP="00CE6267">
      <w:pPr>
        <w:spacing w:after="0"/>
        <w:jc w:val="both"/>
        <w:rPr>
          <w:rFonts w:ascii="Times New Roman" w:hAnsi="Times New Roman" w:cs="Times New Roman"/>
          <w:sz w:val="24"/>
          <w:szCs w:val="24"/>
        </w:rPr>
      </w:pPr>
    </w:p>
    <w:p w14:paraId="0C96A8A3" w14:textId="7BE6ECE3" w:rsidR="00A52226" w:rsidRDefault="00A52226" w:rsidP="00CE6267">
      <w:pPr>
        <w:pStyle w:val="Heading2"/>
        <w:spacing w:before="0" w:after="0"/>
      </w:pPr>
      <w:bookmarkStart w:id="83" w:name="_Toc524340599"/>
      <w:r w:rsidRPr="00A52226">
        <w:t>Overview of the national building stock (Article 2a(1)(a))</w:t>
      </w:r>
      <w:bookmarkEnd w:id="83"/>
    </w:p>
    <w:p w14:paraId="3DA05020" w14:textId="7C8A0CAF" w:rsidR="005C6931" w:rsidRDefault="005C6931" w:rsidP="00CE6267">
      <w:pPr>
        <w:spacing w:after="0"/>
        <w:rPr>
          <w:rFonts w:ascii="Times New Roman" w:hAnsi="Times New Roman" w:cs="Times New Roman"/>
          <w:sz w:val="24"/>
          <w:szCs w:val="24"/>
        </w:rPr>
      </w:pPr>
    </w:p>
    <w:p w14:paraId="2D6C73F8" w14:textId="5715945A" w:rsidR="005428A3" w:rsidRPr="00265A52" w:rsidRDefault="005C6931" w:rsidP="00CE6267">
      <w:pPr>
        <w:spacing w:after="0"/>
        <w:rPr>
          <w:rFonts w:ascii="Times New Roman" w:hAnsi="Times New Roman" w:cs="Times New Roman"/>
          <w:sz w:val="24"/>
          <w:szCs w:val="24"/>
        </w:rPr>
      </w:pPr>
      <w:r>
        <w:rPr>
          <w:rFonts w:ascii="Times New Roman" w:hAnsi="Times New Roman" w:cs="Times New Roman"/>
          <w:sz w:val="24"/>
          <w:szCs w:val="24"/>
        </w:rPr>
        <w:t>D</w:t>
      </w:r>
      <w:r w:rsidR="00067F60" w:rsidRPr="00265A52">
        <w:rPr>
          <w:rFonts w:ascii="Times New Roman" w:hAnsi="Times New Roman" w:cs="Times New Roman"/>
          <w:sz w:val="24"/>
          <w:szCs w:val="24"/>
        </w:rPr>
        <w:t xml:space="preserve">etailed indications on items to be listed in the overview of national building stock were set out in Annex B, Section 1, (Guidance 57) of the NEEAP Guidance. </w:t>
      </w:r>
    </w:p>
    <w:p w14:paraId="7C510DEB" w14:textId="34A9C085" w:rsidR="00067F60" w:rsidRDefault="00067F60" w:rsidP="00CE6267">
      <w:pPr>
        <w:spacing w:after="0"/>
        <w:rPr>
          <w:rFonts w:ascii="Times New Roman" w:hAnsi="Times New Roman" w:cs="Times New Roman"/>
          <w:sz w:val="24"/>
          <w:szCs w:val="24"/>
        </w:rPr>
      </w:pPr>
      <w:r w:rsidRPr="00265A52">
        <w:rPr>
          <w:rFonts w:ascii="Times New Roman" w:hAnsi="Times New Roman" w:cs="Times New Roman"/>
          <w:sz w:val="24"/>
          <w:szCs w:val="24"/>
        </w:rPr>
        <w:t>The 2017 LTRS from Wallonia (Belgium), France and Malta are good practice examples of how to present an overview of the national building stock.</w:t>
      </w:r>
      <w:r w:rsidRPr="00265A52">
        <w:rPr>
          <w:rStyle w:val="FootnoteReference"/>
          <w:rFonts w:ascii="Times New Roman" w:hAnsi="Times New Roman" w:cs="Times New Roman"/>
          <w:sz w:val="24"/>
          <w:szCs w:val="24"/>
        </w:rPr>
        <w:footnoteReference w:id="24"/>
      </w:r>
    </w:p>
    <w:p w14:paraId="5337844E" w14:textId="77777777" w:rsidR="00E4237A" w:rsidRDefault="00E4237A" w:rsidP="00CE6267">
      <w:pPr>
        <w:spacing w:after="0"/>
        <w:rPr>
          <w:rFonts w:ascii="Times New Roman" w:hAnsi="Times New Roman" w:cs="Times New Roman"/>
          <w:sz w:val="24"/>
          <w:szCs w:val="24"/>
        </w:rPr>
      </w:pPr>
    </w:p>
    <w:p w14:paraId="0AD01A75" w14:textId="10E158AD" w:rsidR="00A52226" w:rsidRDefault="00A52226" w:rsidP="00CE6267">
      <w:pPr>
        <w:pStyle w:val="Heading2"/>
        <w:spacing w:before="0" w:after="0"/>
      </w:pPr>
      <w:bookmarkStart w:id="84" w:name="_Toc524340600"/>
      <w:r w:rsidRPr="00A52226">
        <w:t>Cost effective approaches to renovation (Article 2a(1)(b))</w:t>
      </w:r>
      <w:bookmarkEnd w:id="84"/>
    </w:p>
    <w:p w14:paraId="0D125503" w14:textId="77777777" w:rsidR="00501568" w:rsidRDefault="00501568" w:rsidP="00CE6267">
      <w:pPr>
        <w:spacing w:after="0"/>
        <w:jc w:val="both"/>
        <w:rPr>
          <w:rFonts w:ascii="Times New Roman" w:hAnsi="Times New Roman" w:cs="Times New Roman"/>
          <w:i/>
          <w:sz w:val="24"/>
          <w:szCs w:val="24"/>
        </w:rPr>
      </w:pPr>
      <w:r w:rsidRPr="00EF5548">
        <w:rPr>
          <w:rFonts w:ascii="Times New Roman" w:hAnsi="Times New Roman" w:cs="Times New Roman"/>
          <w:i/>
          <w:sz w:val="24"/>
          <w:szCs w:val="24"/>
        </w:rPr>
        <w:t xml:space="preserve">[To be completed – </w:t>
      </w:r>
      <w:proofErr w:type="gramStart"/>
      <w:r w:rsidRPr="00EF5548">
        <w:rPr>
          <w:rFonts w:ascii="Times New Roman" w:hAnsi="Times New Roman" w:cs="Times New Roman"/>
          <w:i/>
          <w:sz w:val="24"/>
          <w:szCs w:val="24"/>
        </w:rPr>
        <w:t>Provide  tips</w:t>
      </w:r>
      <w:proofErr w:type="gramEnd"/>
      <w:r w:rsidRPr="00EF5548">
        <w:rPr>
          <w:rFonts w:ascii="Times New Roman" w:hAnsi="Times New Roman" w:cs="Times New Roman"/>
          <w:i/>
          <w:sz w:val="24"/>
          <w:szCs w:val="24"/>
        </w:rPr>
        <w:t xml:space="preserve"> and good practices]</w:t>
      </w:r>
    </w:p>
    <w:p w14:paraId="694D35F2" w14:textId="77777777" w:rsidR="00E4237A" w:rsidRDefault="00E4237A" w:rsidP="00CE6267">
      <w:pPr>
        <w:spacing w:after="0"/>
        <w:jc w:val="both"/>
        <w:rPr>
          <w:rFonts w:ascii="Times New Roman" w:hAnsi="Times New Roman" w:cs="Times New Roman"/>
          <w:sz w:val="24"/>
          <w:szCs w:val="24"/>
        </w:rPr>
      </w:pPr>
    </w:p>
    <w:p w14:paraId="16815572" w14:textId="77777777" w:rsidR="000F1F33" w:rsidRDefault="0028245E"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The NEEAP Guidance provided, in Annex B, Section 2, detailed indications on how to identify cost-effective approaches. </w:t>
      </w:r>
    </w:p>
    <w:p w14:paraId="521B6C17" w14:textId="77777777" w:rsidR="00E4237A" w:rsidRDefault="00E4237A" w:rsidP="00CE6267">
      <w:pPr>
        <w:spacing w:after="0"/>
        <w:jc w:val="both"/>
        <w:rPr>
          <w:rFonts w:ascii="Times New Roman" w:hAnsi="Times New Roman" w:cs="Times New Roman"/>
          <w:sz w:val="24"/>
          <w:szCs w:val="24"/>
        </w:rPr>
      </w:pPr>
    </w:p>
    <w:p w14:paraId="7832116E" w14:textId="7AB7BC18" w:rsidR="0028245E" w:rsidRPr="00EF5548" w:rsidRDefault="0028245E" w:rsidP="00CE6267">
      <w:pPr>
        <w:spacing w:after="0"/>
        <w:jc w:val="both"/>
        <w:rPr>
          <w:rFonts w:ascii="Times New Roman" w:hAnsi="Times New Roman" w:cs="Times New Roman"/>
          <w:i/>
          <w:sz w:val="24"/>
          <w:szCs w:val="24"/>
        </w:rPr>
      </w:pPr>
      <w:r w:rsidRPr="00000176">
        <w:rPr>
          <w:rFonts w:ascii="Times New Roman" w:hAnsi="Times New Roman" w:cs="Times New Roman"/>
          <w:sz w:val="24"/>
          <w:szCs w:val="24"/>
        </w:rPr>
        <w:t xml:space="preserve">The 2014 LTRS from the Brussels Capital Region </w:t>
      </w:r>
      <w:r>
        <w:rPr>
          <w:rFonts w:ascii="Times New Roman" w:hAnsi="Times New Roman" w:cs="Times New Roman"/>
          <w:sz w:val="24"/>
          <w:szCs w:val="24"/>
        </w:rPr>
        <w:t>and the 2017 LTRS from Wallonia (Belgium) and Bulgaria were</w:t>
      </w:r>
      <w:r w:rsidRPr="00000176">
        <w:rPr>
          <w:rFonts w:ascii="Times New Roman" w:hAnsi="Times New Roman" w:cs="Times New Roman"/>
          <w:sz w:val="24"/>
          <w:szCs w:val="24"/>
        </w:rPr>
        <w:t xml:space="preserve"> highlighted as good practice example</w:t>
      </w:r>
      <w:r>
        <w:rPr>
          <w:rFonts w:ascii="Times New Roman" w:hAnsi="Times New Roman" w:cs="Times New Roman"/>
          <w:sz w:val="24"/>
          <w:szCs w:val="24"/>
        </w:rPr>
        <w:t>s</w:t>
      </w:r>
      <w:r w:rsidRPr="00000176">
        <w:rPr>
          <w:rFonts w:ascii="Times New Roman" w:hAnsi="Times New Roman" w:cs="Times New Roman"/>
          <w:sz w:val="24"/>
          <w:szCs w:val="24"/>
        </w:rPr>
        <w:t xml:space="preserve"> of cost</w:t>
      </w:r>
      <w:r>
        <w:rPr>
          <w:rFonts w:ascii="Times New Roman" w:hAnsi="Times New Roman" w:cs="Times New Roman"/>
          <w:sz w:val="24"/>
          <w:szCs w:val="24"/>
        </w:rPr>
        <w:t>-</w:t>
      </w:r>
      <w:r w:rsidRPr="00000176">
        <w:rPr>
          <w:rFonts w:ascii="Times New Roman" w:hAnsi="Times New Roman" w:cs="Times New Roman"/>
          <w:sz w:val="24"/>
          <w:szCs w:val="24"/>
        </w:rPr>
        <w:t>effective approaches to renovation.</w:t>
      </w:r>
      <w:r>
        <w:rPr>
          <w:rStyle w:val="FootnoteReference"/>
          <w:rFonts w:ascii="Times New Roman" w:hAnsi="Times New Roman" w:cs="Times New Roman"/>
          <w:sz w:val="24"/>
          <w:szCs w:val="24"/>
        </w:rPr>
        <w:footnoteReference w:id="25"/>
      </w:r>
    </w:p>
    <w:p w14:paraId="010E8CC5" w14:textId="77777777" w:rsidR="00E4237A" w:rsidRDefault="00E4237A" w:rsidP="00CE6267">
      <w:pPr>
        <w:spacing w:after="0"/>
        <w:jc w:val="both"/>
        <w:rPr>
          <w:rFonts w:ascii="Times New Roman" w:hAnsi="Times New Roman" w:cs="Times New Roman"/>
          <w:b/>
          <w:i/>
          <w:sz w:val="24"/>
          <w:szCs w:val="24"/>
        </w:rPr>
      </w:pPr>
    </w:p>
    <w:p w14:paraId="266B16DE" w14:textId="77777777" w:rsidR="00226FC8" w:rsidRPr="00E4237A" w:rsidRDefault="00226FC8" w:rsidP="00CE6267">
      <w:pPr>
        <w:spacing w:after="0"/>
        <w:jc w:val="both"/>
        <w:rPr>
          <w:rFonts w:ascii="Times New Roman" w:hAnsi="Times New Roman" w:cs="Times New Roman"/>
          <w:i/>
          <w:sz w:val="24"/>
          <w:szCs w:val="24"/>
        </w:rPr>
      </w:pPr>
      <w:r w:rsidRPr="00E4237A">
        <w:rPr>
          <w:rFonts w:ascii="Times New Roman" w:hAnsi="Times New Roman" w:cs="Times New Roman"/>
          <w:i/>
          <w:sz w:val="24"/>
          <w:szCs w:val="24"/>
        </w:rPr>
        <w:t>Rental and energy performance</w:t>
      </w:r>
    </w:p>
    <w:p w14:paraId="75590DE0" w14:textId="5E49C037" w:rsidR="00226FC8" w:rsidRPr="00265A52" w:rsidRDefault="00226FC8" w:rsidP="00CE6267">
      <w:pPr>
        <w:spacing w:after="0"/>
        <w:jc w:val="both"/>
        <w:rPr>
          <w:rFonts w:ascii="Times New Roman" w:hAnsi="Times New Roman" w:cs="Times New Roman"/>
          <w:sz w:val="24"/>
          <w:szCs w:val="24"/>
        </w:rPr>
      </w:pPr>
      <w:r w:rsidRPr="00265A52">
        <w:rPr>
          <w:rFonts w:ascii="Times New Roman" w:hAnsi="Times New Roman" w:cs="Times New Roman"/>
          <w:sz w:val="24"/>
          <w:szCs w:val="24"/>
        </w:rPr>
        <w:t xml:space="preserve">In England and Wales, </w:t>
      </w:r>
      <w:r w:rsidR="007506F4" w:rsidRPr="00265A52">
        <w:rPr>
          <w:rFonts w:ascii="Times New Roman" w:hAnsi="Times New Roman" w:cs="Times New Roman"/>
          <w:sz w:val="24"/>
          <w:szCs w:val="24"/>
        </w:rPr>
        <w:t xml:space="preserve">if </w:t>
      </w:r>
      <w:r w:rsidR="007506F4">
        <w:rPr>
          <w:rFonts w:ascii="Times New Roman" w:hAnsi="Times New Roman" w:cs="Times New Roman"/>
          <w:sz w:val="24"/>
          <w:szCs w:val="24"/>
        </w:rPr>
        <w:t>a</w:t>
      </w:r>
      <w:r w:rsidR="007506F4" w:rsidRPr="00265A52">
        <w:rPr>
          <w:rFonts w:ascii="Times New Roman" w:hAnsi="Times New Roman" w:cs="Times New Roman"/>
          <w:sz w:val="24"/>
          <w:szCs w:val="24"/>
        </w:rPr>
        <w:t xml:space="preserve"> property is rated with an EPC category below "E"</w:t>
      </w:r>
      <w:r w:rsidR="007506F4">
        <w:rPr>
          <w:rFonts w:ascii="Times New Roman" w:hAnsi="Times New Roman" w:cs="Times New Roman"/>
          <w:sz w:val="24"/>
          <w:szCs w:val="24"/>
        </w:rPr>
        <w:t xml:space="preserve">, </w:t>
      </w:r>
      <w:r w:rsidRPr="00265A52">
        <w:rPr>
          <w:rFonts w:ascii="Times New Roman" w:hAnsi="Times New Roman" w:cs="Times New Roman"/>
          <w:sz w:val="24"/>
          <w:szCs w:val="24"/>
        </w:rPr>
        <w:t>landlords may not rent out a domestic private property after 1 April 2018</w:t>
      </w:r>
      <w:r w:rsidR="00F16D21">
        <w:rPr>
          <w:rFonts w:ascii="Times New Roman" w:hAnsi="Times New Roman" w:cs="Times New Roman"/>
          <w:sz w:val="24"/>
          <w:szCs w:val="24"/>
        </w:rPr>
        <w:t xml:space="preserve"> (such</w:t>
      </w:r>
      <w:r w:rsidRPr="00265A52">
        <w:rPr>
          <w:rFonts w:ascii="Times New Roman" w:hAnsi="Times New Roman" w:cs="Times New Roman"/>
          <w:sz w:val="24"/>
          <w:szCs w:val="24"/>
        </w:rPr>
        <w:t xml:space="preserve"> lease</w:t>
      </w:r>
      <w:r w:rsidR="00F16D21">
        <w:rPr>
          <w:rFonts w:ascii="Times New Roman" w:hAnsi="Times New Roman" w:cs="Times New Roman"/>
          <w:sz w:val="24"/>
          <w:szCs w:val="24"/>
        </w:rPr>
        <w:t>s</w:t>
      </w:r>
      <w:r w:rsidRPr="00265A52">
        <w:rPr>
          <w:rFonts w:ascii="Times New Roman" w:hAnsi="Times New Roman" w:cs="Times New Roman"/>
          <w:sz w:val="24"/>
          <w:szCs w:val="24"/>
        </w:rPr>
        <w:t xml:space="preserve"> may not continue beyond 1 April 2020</w:t>
      </w:r>
      <w:r w:rsidR="00F16D21">
        <w:rPr>
          <w:rFonts w:ascii="Times New Roman" w:hAnsi="Times New Roman" w:cs="Times New Roman"/>
          <w:sz w:val="24"/>
          <w:szCs w:val="24"/>
        </w:rPr>
        <w:t>)</w:t>
      </w:r>
      <w:r w:rsidRPr="00265A52">
        <w:rPr>
          <w:rFonts w:ascii="Times New Roman" w:hAnsi="Times New Roman" w:cs="Times New Roman"/>
          <w:sz w:val="24"/>
          <w:szCs w:val="24"/>
        </w:rPr>
        <w:t xml:space="preserve"> or rent out a non-domestic private property after 1 April 2018</w:t>
      </w:r>
      <w:r w:rsidR="00F16D21">
        <w:rPr>
          <w:rFonts w:ascii="Times New Roman" w:hAnsi="Times New Roman" w:cs="Times New Roman"/>
          <w:sz w:val="24"/>
          <w:szCs w:val="24"/>
        </w:rPr>
        <w:t xml:space="preserve"> (such</w:t>
      </w:r>
      <w:r w:rsidRPr="00265A52">
        <w:rPr>
          <w:rFonts w:ascii="Times New Roman" w:hAnsi="Times New Roman" w:cs="Times New Roman"/>
          <w:sz w:val="24"/>
          <w:szCs w:val="24"/>
        </w:rPr>
        <w:t xml:space="preserve"> lease</w:t>
      </w:r>
      <w:r w:rsidR="00F16D21">
        <w:rPr>
          <w:rFonts w:ascii="Times New Roman" w:hAnsi="Times New Roman" w:cs="Times New Roman"/>
          <w:sz w:val="24"/>
          <w:szCs w:val="24"/>
        </w:rPr>
        <w:t>s</w:t>
      </w:r>
      <w:r w:rsidRPr="00265A52">
        <w:rPr>
          <w:rFonts w:ascii="Times New Roman" w:hAnsi="Times New Roman" w:cs="Times New Roman"/>
          <w:sz w:val="24"/>
          <w:szCs w:val="24"/>
        </w:rPr>
        <w:t xml:space="preserve"> may not continue beyond </w:t>
      </w:r>
      <w:r w:rsidR="00F16D21">
        <w:rPr>
          <w:rFonts w:ascii="Times New Roman" w:hAnsi="Times New Roman" w:cs="Times New Roman"/>
          <w:sz w:val="24"/>
          <w:szCs w:val="24"/>
        </w:rPr>
        <w:t xml:space="preserve">1 </w:t>
      </w:r>
      <w:r w:rsidRPr="00265A52">
        <w:rPr>
          <w:rFonts w:ascii="Times New Roman" w:hAnsi="Times New Roman" w:cs="Times New Roman"/>
          <w:sz w:val="24"/>
          <w:szCs w:val="24"/>
        </w:rPr>
        <w:t>April 2023</w:t>
      </w:r>
      <w:r w:rsidR="00F16D21">
        <w:rPr>
          <w:rFonts w:ascii="Times New Roman" w:hAnsi="Times New Roman" w:cs="Times New Roman"/>
          <w:sz w:val="24"/>
          <w:szCs w:val="24"/>
        </w:rPr>
        <w:t>)</w:t>
      </w:r>
      <w:r w:rsidR="007506F4">
        <w:rPr>
          <w:rFonts w:ascii="Times New Roman" w:hAnsi="Times New Roman" w:cs="Times New Roman"/>
          <w:sz w:val="24"/>
          <w:szCs w:val="24"/>
        </w:rPr>
        <w:t>.</w:t>
      </w:r>
      <w:r w:rsidRPr="00265A52">
        <w:rPr>
          <w:rFonts w:ascii="Times New Roman" w:hAnsi="Times New Roman" w:cs="Times New Roman"/>
          <w:sz w:val="24"/>
          <w:szCs w:val="24"/>
        </w:rPr>
        <w:t xml:space="preserve"> </w:t>
      </w:r>
    </w:p>
    <w:p w14:paraId="263B0FF3" w14:textId="77777777" w:rsidR="00E4237A" w:rsidRDefault="00E4237A" w:rsidP="00CE6267">
      <w:pPr>
        <w:spacing w:after="0"/>
        <w:jc w:val="both"/>
        <w:rPr>
          <w:rFonts w:ascii="Times New Roman" w:hAnsi="Times New Roman" w:cs="Times New Roman"/>
          <w:sz w:val="24"/>
          <w:szCs w:val="24"/>
        </w:rPr>
      </w:pPr>
    </w:p>
    <w:p w14:paraId="7476324C" w14:textId="77777777" w:rsidR="00226FC8" w:rsidRPr="00265A52" w:rsidRDefault="00226FC8" w:rsidP="00CE6267">
      <w:pPr>
        <w:spacing w:after="0"/>
        <w:jc w:val="both"/>
        <w:rPr>
          <w:rFonts w:ascii="Times New Roman" w:hAnsi="Times New Roman" w:cs="Times New Roman"/>
          <w:sz w:val="24"/>
          <w:szCs w:val="24"/>
        </w:rPr>
      </w:pPr>
      <w:r w:rsidRPr="00265A52">
        <w:rPr>
          <w:rFonts w:ascii="Times New Roman" w:hAnsi="Times New Roman" w:cs="Times New Roman"/>
          <w:sz w:val="24"/>
          <w:szCs w:val="24"/>
        </w:rPr>
        <w:t>Scotland introduced a new measure that mandates renovation of low performing social housing.</w:t>
      </w:r>
    </w:p>
    <w:p w14:paraId="42DFA177" w14:textId="77777777" w:rsidR="00E4237A" w:rsidRDefault="00E4237A" w:rsidP="00CE6267">
      <w:pPr>
        <w:spacing w:after="0"/>
        <w:jc w:val="both"/>
        <w:rPr>
          <w:rFonts w:ascii="Times New Roman" w:hAnsi="Times New Roman" w:cs="Times New Roman"/>
          <w:sz w:val="24"/>
          <w:szCs w:val="24"/>
        </w:rPr>
      </w:pPr>
    </w:p>
    <w:p w14:paraId="75748B69" w14:textId="77777777" w:rsidR="00226FC8" w:rsidRDefault="00226FC8" w:rsidP="00CE6267">
      <w:pPr>
        <w:spacing w:after="0"/>
        <w:jc w:val="both"/>
        <w:rPr>
          <w:rFonts w:ascii="Times New Roman" w:hAnsi="Times New Roman" w:cs="Times New Roman"/>
          <w:sz w:val="24"/>
          <w:szCs w:val="24"/>
        </w:rPr>
      </w:pPr>
      <w:r w:rsidRPr="00265A52">
        <w:rPr>
          <w:rFonts w:ascii="Times New Roman" w:hAnsi="Times New Roman" w:cs="Times New Roman"/>
          <w:sz w:val="24"/>
          <w:szCs w:val="24"/>
        </w:rPr>
        <w:lastRenderedPageBreak/>
        <w:t xml:space="preserve">In Greece, a similar approach applies according to which buildings to be leased or bought by the public sector are required to be set at EPC rating "C". The obligation must be applied to all existing lease contracts by 2020. </w:t>
      </w:r>
    </w:p>
    <w:p w14:paraId="18421C73" w14:textId="77777777" w:rsidR="00E4237A" w:rsidRPr="00265A52" w:rsidRDefault="00E4237A" w:rsidP="00CE6267">
      <w:pPr>
        <w:spacing w:after="0"/>
        <w:jc w:val="both"/>
        <w:rPr>
          <w:rFonts w:ascii="Times New Roman" w:hAnsi="Times New Roman" w:cs="Times New Roman"/>
          <w:sz w:val="24"/>
          <w:szCs w:val="24"/>
        </w:rPr>
      </w:pPr>
    </w:p>
    <w:p w14:paraId="6C93B88B" w14:textId="46CE4C32" w:rsidR="00A52226" w:rsidRDefault="00A52226" w:rsidP="00CE6267">
      <w:pPr>
        <w:pStyle w:val="Heading2"/>
        <w:spacing w:before="0" w:after="0"/>
      </w:pPr>
      <w:bookmarkStart w:id="85" w:name="_Toc524340601"/>
      <w:r w:rsidRPr="00F12EF2">
        <w:t xml:space="preserve">Policies and actions towards deep </w:t>
      </w:r>
      <w:proofErr w:type="gramStart"/>
      <w:r w:rsidRPr="00F12EF2">
        <w:t>renovation  (</w:t>
      </w:r>
      <w:proofErr w:type="gramEnd"/>
      <w:r w:rsidRPr="00F12EF2">
        <w:t>Article 2a(1)(c))</w:t>
      </w:r>
      <w:bookmarkEnd w:id="85"/>
    </w:p>
    <w:p w14:paraId="17BEEDDA" w14:textId="7D3EE76F" w:rsidR="00501568" w:rsidRDefault="00E4237A" w:rsidP="00CE6267">
      <w:pPr>
        <w:spacing w:after="0"/>
        <w:jc w:val="both"/>
        <w:rPr>
          <w:rFonts w:ascii="Times New Roman" w:hAnsi="Times New Roman" w:cs="Times New Roman"/>
          <w:i/>
          <w:sz w:val="24"/>
          <w:szCs w:val="24"/>
        </w:rPr>
      </w:pPr>
      <w:r>
        <w:rPr>
          <w:rFonts w:ascii="Times New Roman" w:hAnsi="Times New Roman" w:cs="Times New Roman"/>
          <w:i/>
          <w:sz w:val="24"/>
          <w:szCs w:val="24"/>
        </w:rPr>
        <w:t>[</w:t>
      </w:r>
      <w:r w:rsidR="00501568" w:rsidRPr="00EF5548">
        <w:rPr>
          <w:rFonts w:ascii="Times New Roman" w:hAnsi="Times New Roman" w:cs="Times New Roman"/>
          <w:i/>
          <w:sz w:val="24"/>
          <w:szCs w:val="24"/>
        </w:rPr>
        <w:t xml:space="preserve">To be completed – </w:t>
      </w:r>
      <w:proofErr w:type="gramStart"/>
      <w:r w:rsidR="00501568" w:rsidRPr="00EF5548">
        <w:rPr>
          <w:rFonts w:ascii="Times New Roman" w:hAnsi="Times New Roman" w:cs="Times New Roman"/>
          <w:i/>
          <w:sz w:val="24"/>
          <w:szCs w:val="24"/>
        </w:rPr>
        <w:t>Provide  tips</w:t>
      </w:r>
      <w:proofErr w:type="gramEnd"/>
      <w:r w:rsidR="00501568" w:rsidRPr="00EF5548">
        <w:rPr>
          <w:rFonts w:ascii="Times New Roman" w:hAnsi="Times New Roman" w:cs="Times New Roman"/>
          <w:i/>
          <w:sz w:val="24"/>
          <w:szCs w:val="24"/>
        </w:rPr>
        <w:t xml:space="preserve"> and good practices]</w:t>
      </w:r>
    </w:p>
    <w:p w14:paraId="7141771F" w14:textId="77777777" w:rsidR="00E4237A" w:rsidRDefault="00E4237A" w:rsidP="00CE6267">
      <w:pPr>
        <w:spacing w:after="0"/>
        <w:jc w:val="both"/>
        <w:rPr>
          <w:rFonts w:ascii="Times New Roman" w:hAnsi="Times New Roman" w:cs="Times New Roman"/>
          <w:i/>
          <w:sz w:val="24"/>
          <w:szCs w:val="24"/>
        </w:rPr>
      </w:pPr>
    </w:p>
    <w:p w14:paraId="75B7E212" w14:textId="77777777" w:rsidR="000F1F33" w:rsidRDefault="00341E14"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In Annex B, Section 3, the NEEAP Guidance provided indications on information that should be provided </w:t>
      </w:r>
      <w:proofErr w:type="gramStart"/>
      <w:r w:rsidRPr="00000176">
        <w:rPr>
          <w:rFonts w:ascii="Times New Roman" w:hAnsi="Times New Roman" w:cs="Times New Roman"/>
          <w:sz w:val="24"/>
          <w:szCs w:val="24"/>
        </w:rPr>
        <w:t>with regard to</w:t>
      </w:r>
      <w:proofErr w:type="gramEnd"/>
      <w:r w:rsidRPr="00000176">
        <w:rPr>
          <w:rFonts w:ascii="Times New Roman" w:hAnsi="Times New Roman" w:cs="Times New Roman"/>
          <w:sz w:val="24"/>
          <w:szCs w:val="24"/>
        </w:rPr>
        <w:t xml:space="preserve"> policies and measures to stimulate cost-effective deep renovations. </w:t>
      </w:r>
    </w:p>
    <w:p w14:paraId="6A6EBBF4" w14:textId="2A68C866" w:rsidR="00341E14" w:rsidRPr="00000176" w:rsidRDefault="00341E14"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The 201</w:t>
      </w:r>
      <w:r>
        <w:rPr>
          <w:rFonts w:ascii="Times New Roman" w:hAnsi="Times New Roman" w:cs="Times New Roman"/>
          <w:sz w:val="24"/>
          <w:szCs w:val="24"/>
        </w:rPr>
        <w:t>7</w:t>
      </w:r>
      <w:r w:rsidRPr="00000176">
        <w:rPr>
          <w:rFonts w:ascii="Times New Roman" w:hAnsi="Times New Roman" w:cs="Times New Roman"/>
          <w:sz w:val="24"/>
          <w:szCs w:val="24"/>
        </w:rPr>
        <w:t xml:space="preserve"> LTRS from </w:t>
      </w:r>
      <w:r>
        <w:rPr>
          <w:rFonts w:ascii="Times New Roman" w:hAnsi="Times New Roman" w:cs="Times New Roman"/>
          <w:sz w:val="24"/>
          <w:szCs w:val="24"/>
        </w:rPr>
        <w:t>the Brussels Capital Region and France are</w:t>
      </w:r>
      <w:r w:rsidRPr="00000176">
        <w:rPr>
          <w:rFonts w:ascii="Times New Roman" w:hAnsi="Times New Roman" w:cs="Times New Roman"/>
          <w:sz w:val="24"/>
          <w:szCs w:val="24"/>
        </w:rPr>
        <w:t xml:space="preserve"> good practice example</w:t>
      </w:r>
      <w:r>
        <w:rPr>
          <w:rFonts w:ascii="Times New Roman" w:hAnsi="Times New Roman" w:cs="Times New Roman"/>
          <w:sz w:val="24"/>
          <w:szCs w:val="24"/>
        </w:rPr>
        <w:t>s</w:t>
      </w:r>
      <w:r w:rsidRPr="00000176">
        <w:rPr>
          <w:rFonts w:ascii="Times New Roman" w:hAnsi="Times New Roman" w:cs="Times New Roman"/>
          <w:sz w:val="24"/>
          <w:szCs w:val="24"/>
        </w:rPr>
        <w:t xml:space="preserve"> of measures to stimulate deep renovation.</w:t>
      </w:r>
      <w:r w:rsidRPr="00000176">
        <w:rPr>
          <w:rStyle w:val="FootnoteReference"/>
          <w:rFonts w:ascii="Times New Roman" w:hAnsi="Times New Roman" w:cs="Times New Roman"/>
          <w:sz w:val="24"/>
          <w:szCs w:val="24"/>
        </w:rPr>
        <w:footnoteReference w:id="26"/>
      </w:r>
    </w:p>
    <w:p w14:paraId="7783CC61" w14:textId="77777777" w:rsidR="00E4237A" w:rsidRDefault="00E4237A" w:rsidP="00CE6267">
      <w:pPr>
        <w:pStyle w:val="ListParagraph"/>
        <w:spacing w:after="0"/>
        <w:ind w:left="0"/>
        <w:jc w:val="both"/>
        <w:rPr>
          <w:rFonts w:ascii="Times New Roman" w:hAnsi="Times New Roman" w:cs="Times New Roman"/>
          <w:sz w:val="24"/>
          <w:szCs w:val="24"/>
        </w:rPr>
      </w:pPr>
    </w:p>
    <w:p w14:paraId="0DC864FE" w14:textId="12B791C0" w:rsidR="00226FC8" w:rsidRPr="001D16F4" w:rsidRDefault="00226FC8" w:rsidP="00CE6267">
      <w:pPr>
        <w:pStyle w:val="ListParagraph"/>
        <w:spacing w:after="0"/>
        <w:ind w:left="0"/>
        <w:jc w:val="both"/>
        <w:rPr>
          <w:rFonts w:ascii="Times New Roman" w:hAnsi="Times New Roman" w:cs="Times New Roman"/>
          <w:sz w:val="24"/>
          <w:szCs w:val="24"/>
        </w:rPr>
      </w:pPr>
      <w:r w:rsidRPr="001D16F4">
        <w:rPr>
          <w:rFonts w:ascii="Times New Roman" w:hAnsi="Times New Roman" w:cs="Times New Roman"/>
          <w:sz w:val="24"/>
          <w:szCs w:val="24"/>
        </w:rPr>
        <w:t>There are an increasing number of building renovation passports/roadmap schemes</w:t>
      </w:r>
      <w:r w:rsidR="00501568">
        <w:rPr>
          <w:rFonts w:ascii="Times New Roman" w:hAnsi="Times New Roman" w:cs="Times New Roman"/>
          <w:sz w:val="24"/>
          <w:szCs w:val="24"/>
        </w:rPr>
        <w:t xml:space="preserve"> </w:t>
      </w:r>
      <w:r w:rsidR="00F12EF2" w:rsidRPr="001D16F4">
        <w:rPr>
          <w:rFonts w:ascii="Times New Roman" w:hAnsi="Times New Roman" w:cs="Times New Roman"/>
          <w:sz w:val="24"/>
          <w:szCs w:val="24"/>
        </w:rPr>
        <w:t>in the EU</w:t>
      </w:r>
      <w:r w:rsidRPr="001D16F4">
        <w:rPr>
          <w:rFonts w:ascii="Times New Roman" w:hAnsi="Times New Roman" w:cs="Times New Roman"/>
          <w:sz w:val="24"/>
          <w:szCs w:val="24"/>
        </w:rPr>
        <w:t xml:space="preserve"> and the most well-known are: </w:t>
      </w:r>
    </w:p>
    <w:p w14:paraId="5BD727C8" w14:textId="3E0AF2D5" w:rsidR="00226FC8" w:rsidRPr="00231B0D" w:rsidRDefault="00226FC8" w:rsidP="00231B0D">
      <w:pPr>
        <w:pStyle w:val="ListParagraph"/>
        <w:numPr>
          <w:ilvl w:val="0"/>
          <w:numId w:val="9"/>
        </w:numPr>
        <w:spacing w:after="0"/>
        <w:jc w:val="both"/>
        <w:rPr>
          <w:rFonts w:ascii="Times New Roman" w:hAnsi="Times New Roman" w:cs="Times New Roman"/>
          <w:color w:val="000000"/>
          <w:sz w:val="24"/>
          <w:szCs w:val="24"/>
        </w:rPr>
      </w:pPr>
      <w:proofErr w:type="spellStart"/>
      <w:r w:rsidRPr="00231B0D">
        <w:rPr>
          <w:rFonts w:ascii="Times New Roman" w:hAnsi="Times New Roman" w:cs="Times New Roman"/>
          <w:color w:val="000000"/>
          <w:sz w:val="24"/>
          <w:szCs w:val="24"/>
        </w:rPr>
        <w:t>Individueller</w:t>
      </w:r>
      <w:proofErr w:type="spellEnd"/>
      <w:r w:rsidRPr="00231B0D">
        <w:rPr>
          <w:rFonts w:ascii="Times New Roman" w:hAnsi="Times New Roman" w:cs="Times New Roman"/>
          <w:color w:val="000000"/>
          <w:sz w:val="24"/>
          <w:szCs w:val="24"/>
        </w:rPr>
        <w:t xml:space="preserve"> </w:t>
      </w:r>
      <w:proofErr w:type="spellStart"/>
      <w:r w:rsidRPr="00231B0D">
        <w:rPr>
          <w:rFonts w:ascii="Times New Roman" w:hAnsi="Times New Roman" w:cs="Times New Roman"/>
          <w:color w:val="000000"/>
          <w:sz w:val="24"/>
          <w:szCs w:val="24"/>
        </w:rPr>
        <w:t>Sanierungsfahrplan</w:t>
      </w:r>
      <w:proofErr w:type="spellEnd"/>
      <w:r w:rsidRPr="00231B0D">
        <w:rPr>
          <w:rFonts w:ascii="Times New Roman" w:hAnsi="Times New Roman" w:cs="Times New Roman"/>
          <w:color w:val="000000"/>
          <w:sz w:val="24"/>
          <w:szCs w:val="24"/>
        </w:rPr>
        <w:t xml:space="preserve"> (Individual renovation roadmap) – Germany</w:t>
      </w:r>
      <w:r w:rsidR="00995991">
        <w:rPr>
          <w:rFonts w:ascii="Times New Roman" w:hAnsi="Times New Roman" w:cs="Times New Roman"/>
          <w:color w:val="000000"/>
          <w:sz w:val="24"/>
          <w:szCs w:val="24"/>
        </w:rPr>
        <w:t>;</w:t>
      </w:r>
    </w:p>
    <w:p w14:paraId="681E16BE" w14:textId="4512AD45" w:rsidR="00226FC8" w:rsidRPr="00231B0D" w:rsidRDefault="00226FC8" w:rsidP="00231B0D">
      <w:pPr>
        <w:pStyle w:val="ListParagraph"/>
        <w:numPr>
          <w:ilvl w:val="0"/>
          <w:numId w:val="9"/>
        </w:numPr>
        <w:spacing w:after="0"/>
        <w:jc w:val="both"/>
        <w:rPr>
          <w:rFonts w:ascii="Times New Roman" w:hAnsi="Times New Roman" w:cs="Times New Roman"/>
          <w:color w:val="000000"/>
          <w:sz w:val="24"/>
          <w:szCs w:val="24"/>
        </w:rPr>
      </w:pPr>
      <w:proofErr w:type="spellStart"/>
      <w:r w:rsidRPr="00231B0D">
        <w:rPr>
          <w:rFonts w:ascii="Times New Roman" w:hAnsi="Times New Roman" w:cs="Times New Roman"/>
          <w:color w:val="000000"/>
          <w:sz w:val="24"/>
          <w:szCs w:val="24"/>
        </w:rPr>
        <w:t>Woningpas</w:t>
      </w:r>
      <w:proofErr w:type="spellEnd"/>
      <w:r w:rsidRPr="00231B0D">
        <w:rPr>
          <w:rFonts w:ascii="Times New Roman" w:hAnsi="Times New Roman" w:cs="Times New Roman"/>
          <w:color w:val="000000"/>
          <w:sz w:val="24"/>
          <w:szCs w:val="24"/>
        </w:rPr>
        <w:t xml:space="preserve"> (Dwelling ID) – Region of Flanders, Belgium</w:t>
      </w:r>
      <w:r w:rsidR="00995991">
        <w:rPr>
          <w:rFonts w:ascii="Times New Roman" w:hAnsi="Times New Roman" w:cs="Times New Roman"/>
          <w:color w:val="000000"/>
          <w:sz w:val="24"/>
          <w:szCs w:val="24"/>
        </w:rPr>
        <w:t>;</w:t>
      </w:r>
    </w:p>
    <w:p w14:paraId="655B7739" w14:textId="6C4BCA1D" w:rsidR="00226FC8" w:rsidRPr="004B3698" w:rsidRDefault="00226FC8" w:rsidP="00231B0D">
      <w:pPr>
        <w:pStyle w:val="ListParagraph"/>
        <w:numPr>
          <w:ilvl w:val="0"/>
          <w:numId w:val="9"/>
        </w:numPr>
        <w:spacing w:after="0"/>
        <w:jc w:val="both"/>
        <w:rPr>
          <w:rFonts w:ascii="Times New Roman" w:hAnsi="Times New Roman" w:cs="Times New Roman"/>
          <w:color w:val="000000"/>
          <w:sz w:val="24"/>
          <w:szCs w:val="24"/>
          <w:lang w:val="fr-CA"/>
        </w:rPr>
      </w:pPr>
      <w:r w:rsidRPr="004B3698">
        <w:rPr>
          <w:rFonts w:ascii="Times New Roman" w:hAnsi="Times New Roman" w:cs="Times New Roman"/>
          <w:color w:val="000000"/>
          <w:sz w:val="24"/>
          <w:szCs w:val="24"/>
          <w:lang w:val="fr-CA"/>
        </w:rPr>
        <w:t>Passeport efficacité énergétique (Energ</w:t>
      </w:r>
      <w:r w:rsidR="00995991">
        <w:rPr>
          <w:rFonts w:ascii="Times New Roman" w:hAnsi="Times New Roman" w:cs="Times New Roman"/>
          <w:color w:val="000000"/>
          <w:sz w:val="24"/>
          <w:szCs w:val="24"/>
          <w:lang w:val="fr-CA"/>
        </w:rPr>
        <w:t xml:space="preserve">y </w:t>
      </w:r>
      <w:proofErr w:type="spellStart"/>
      <w:r w:rsidR="00995991">
        <w:rPr>
          <w:rFonts w:ascii="Times New Roman" w:hAnsi="Times New Roman" w:cs="Times New Roman"/>
          <w:color w:val="000000"/>
          <w:sz w:val="24"/>
          <w:szCs w:val="24"/>
          <w:lang w:val="fr-CA"/>
        </w:rPr>
        <w:t>efficiency</w:t>
      </w:r>
      <w:proofErr w:type="spellEnd"/>
      <w:r w:rsidR="00995991">
        <w:rPr>
          <w:rFonts w:ascii="Times New Roman" w:hAnsi="Times New Roman" w:cs="Times New Roman"/>
          <w:color w:val="000000"/>
          <w:sz w:val="24"/>
          <w:szCs w:val="24"/>
          <w:lang w:val="fr-CA"/>
        </w:rPr>
        <w:t xml:space="preserve"> </w:t>
      </w:r>
      <w:proofErr w:type="spellStart"/>
      <w:r w:rsidR="00995991">
        <w:rPr>
          <w:rFonts w:ascii="Times New Roman" w:hAnsi="Times New Roman" w:cs="Times New Roman"/>
          <w:color w:val="000000"/>
          <w:sz w:val="24"/>
          <w:szCs w:val="24"/>
          <w:lang w:val="fr-CA"/>
        </w:rPr>
        <w:t>passport</w:t>
      </w:r>
      <w:proofErr w:type="spellEnd"/>
      <w:r w:rsidR="00995991">
        <w:rPr>
          <w:rFonts w:ascii="Times New Roman" w:hAnsi="Times New Roman" w:cs="Times New Roman"/>
          <w:color w:val="000000"/>
          <w:sz w:val="24"/>
          <w:szCs w:val="24"/>
          <w:lang w:val="fr-CA"/>
        </w:rPr>
        <w:t>) – France.</w:t>
      </w:r>
    </w:p>
    <w:p w14:paraId="25209B31" w14:textId="77777777" w:rsidR="00F12EF2" w:rsidRPr="001D16F4" w:rsidRDefault="00F12EF2" w:rsidP="00CE6267">
      <w:pPr>
        <w:pStyle w:val="ListParagraph"/>
        <w:spacing w:after="0"/>
        <w:ind w:left="0"/>
        <w:jc w:val="both"/>
        <w:rPr>
          <w:rFonts w:ascii="Times New Roman" w:hAnsi="Times New Roman" w:cs="Times New Roman"/>
          <w:sz w:val="24"/>
          <w:szCs w:val="24"/>
          <w:lang w:val="fr-CA"/>
        </w:rPr>
      </w:pPr>
    </w:p>
    <w:p w14:paraId="5231FA00" w14:textId="77777777" w:rsidR="007245B5" w:rsidRDefault="00A52226" w:rsidP="00CE6267">
      <w:pPr>
        <w:pStyle w:val="Heading2"/>
        <w:spacing w:before="0" w:after="0"/>
      </w:pPr>
      <w:bookmarkStart w:id="86" w:name="_Toc524340602"/>
      <w:r w:rsidRPr="00281205">
        <w:t xml:space="preserve">Policies and actions towards worst-performing buildings and energy </w:t>
      </w:r>
      <w:proofErr w:type="gramStart"/>
      <w:r w:rsidRPr="00281205">
        <w:t>poverty  (</w:t>
      </w:r>
      <w:proofErr w:type="gramEnd"/>
      <w:r w:rsidRPr="00281205">
        <w:t>Article 2a(1)(d)</w:t>
      </w:r>
      <w:bookmarkEnd w:id="86"/>
    </w:p>
    <w:p w14:paraId="2734F9B7" w14:textId="77777777" w:rsidR="007245B5" w:rsidRDefault="007245B5" w:rsidP="007245B5">
      <w:pPr>
        <w:pStyle w:val="Heading3"/>
        <w:numPr>
          <w:ilvl w:val="0"/>
          <w:numId w:val="0"/>
        </w:numPr>
        <w:spacing w:before="0" w:after="0"/>
        <w:ind w:left="851"/>
      </w:pPr>
    </w:p>
    <w:p w14:paraId="067BF2A9" w14:textId="31D72F0E" w:rsidR="008A0366" w:rsidRPr="007245B5" w:rsidRDefault="007245B5" w:rsidP="007245B5">
      <w:pPr>
        <w:pStyle w:val="Heading3"/>
        <w:spacing w:before="0" w:after="0"/>
      </w:pPr>
      <w:bookmarkStart w:id="87" w:name="_Toc524340603"/>
      <w:r>
        <w:t>W</w:t>
      </w:r>
      <w:r w:rsidR="008A0366" w:rsidRPr="007245B5">
        <w:t>orst performing segments of the national building stock</w:t>
      </w:r>
      <w:bookmarkEnd w:id="87"/>
    </w:p>
    <w:p w14:paraId="632CAA8E" w14:textId="77777777" w:rsidR="00E4237A" w:rsidRDefault="00E4237A" w:rsidP="00CE6267">
      <w:pPr>
        <w:spacing w:after="0"/>
        <w:jc w:val="both"/>
        <w:rPr>
          <w:rFonts w:ascii="Times New Roman" w:hAnsi="Times New Roman" w:cs="Times New Roman"/>
          <w:i/>
          <w:sz w:val="24"/>
          <w:szCs w:val="24"/>
        </w:rPr>
      </w:pPr>
    </w:p>
    <w:p w14:paraId="7C3E0605" w14:textId="77777777" w:rsidR="008A0366" w:rsidRPr="008A0366" w:rsidRDefault="008A0366" w:rsidP="00CE6267">
      <w:pPr>
        <w:spacing w:after="0"/>
        <w:jc w:val="both"/>
        <w:rPr>
          <w:rFonts w:ascii="Times New Roman" w:hAnsi="Times New Roman" w:cs="Times New Roman"/>
          <w:i/>
          <w:sz w:val="24"/>
          <w:szCs w:val="24"/>
        </w:rPr>
      </w:pPr>
      <w:r w:rsidRPr="008A0366">
        <w:rPr>
          <w:rFonts w:ascii="Times New Roman" w:hAnsi="Times New Roman" w:cs="Times New Roman"/>
          <w:i/>
          <w:sz w:val="24"/>
          <w:szCs w:val="24"/>
        </w:rPr>
        <w:t xml:space="preserve">[To be completed – </w:t>
      </w:r>
      <w:proofErr w:type="gramStart"/>
      <w:r w:rsidRPr="008A0366">
        <w:rPr>
          <w:rFonts w:ascii="Times New Roman" w:hAnsi="Times New Roman" w:cs="Times New Roman"/>
          <w:i/>
          <w:sz w:val="24"/>
          <w:szCs w:val="24"/>
        </w:rPr>
        <w:t>Provide  tips</w:t>
      </w:r>
      <w:proofErr w:type="gramEnd"/>
      <w:r w:rsidRPr="008A0366">
        <w:rPr>
          <w:rFonts w:ascii="Times New Roman" w:hAnsi="Times New Roman" w:cs="Times New Roman"/>
          <w:i/>
          <w:sz w:val="24"/>
          <w:szCs w:val="24"/>
        </w:rPr>
        <w:t xml:space="preserve"> and good practices]</w:t>
      </w:r>
    </w:p>
    <w:p w14:paraId="4397E958" w14:textId="77777777" w:rsidR="00E4237A" w:rsidRDefault="00E4237A" w:rsidP="00CE6267">
      <w:pPr>
        <w:spacing w:after="0"/>
        <w:jc w:val="both"/>
        <w:rPr>
          <w:rFonts w:ascii="Times New Roman" w:hAnsi="Times New Roman" w:cs="Times New Roman"/>
          <w:b/>
          <w:i/>
          <w:sz w:val="24"/>
          <w:szCs w:val="24"/>
        </w:rPr>
      </w:pPr>
    </w:p>
    <w:p w14:paraId="5C18E0E9" w14:textId="28CA9808" w:rsidR="008A0366" w:rsidRPr="00962BB7" w:rsidRDefault="00F73284" w:rsidP="00962BB7">
      <w:pPr>
        <w:pStyle w:val="Heading3"/>
        <w:spacing w:before="0" w:after="0"/>
      </w:pPr>
      <w:bookmarkStart w:id="88" w:name="_Toc524340604"/>
      <w:r w:rsidRPr="00962BB7">
        <w:t>S</w:t>
      </w:r>
      <w:r w:rsidR="008A0366" w:rsidRPr="00962BB7">
        <w:t>plit incentive dilemmas</w:t>
      </w:r>
      <w:bookmarkEnd w:id="88"/>
    </w:p>
    <w:p w14:paraId="35DFB40E" w14:textId="77777777" w:rsidR="00E4237A" w:rsidRDefault="00E4237A" w:rsidP="00CE6267">
      <w:pPr>
        <w:spacing w:after="0"/>
        <w:jc w:val="both"/>
        <w:rPr>
          <w:rFonts w:ascii="Times New Roman" w:hAnsi="Times New Roman" w:cs="Times New Roman"/>
          <w:i/>
          <w:sz w:val="24"/>
          <w:szCs w:val="24"/>
        </w:rPr>
      </w:pPr>
    </w:p>
    <w:p w14:paraId="4AC7801F" w14:textId="77777777" w:rsidR="008A0366" w:rsidRPr="008A0366" w:rsidRDefault="008A0366" w:rsidP="00CE6267">
      <w:pPr>
        <w:spacing w:after="0"/>
        <w:jc w:val="both"/>
        <w:rPr>
          <w:rFonts w:ascii="Times New Roman" w:hAnsi="Times New Roman" w:cs="Times New Roman"/>
          <w:i/>
          <w:sz w:val="24"/>
          <w:szCs w:val="24"/>
        </w:rPr>
      </w:pPr>
      <w:r w:rsidRPr="008A0366">
        <w:rPr>
          <w:rFonts w:ascii="Times New Roman" w:hAnsi="Times New Roman" w:cs="Times New Roman"/>
          <w:i/>
          <w:sz w:val="24"/>
          <w:szCs w:val="24"/>
        </w:rPr>
        <w:t xml:space="preserve">[To be completed – </w:t>
      </w:r>
      <w:proofErr w:type="gramStart"/>
      <w:r w:rsidRPr="008A0366">
        <w:rPr>
          <w:rFonts w:ascii="Times New Roman" w:hAnsi="Times New Roman" w:cs="Times New Roman"/>
          <w:i/>
          <w:sz w:val="24"/>
          <w:szCs w:val="24"/>
        </w:rPr>
        <w:t>Provide  tips</w:t>
      </w:r>
      <w:proofErr w:type="gramEnd"/>
      <w:r w:rsidRPr="008A0366">
        <w:rPr>
          <w:rFonts w:ascii="Times New Roman" w:hAnsi="Times New Roman" w:cs="Times New Roman"/>
          <w:i/>
          <w:sz w:val="24"/>
          <w:szCs w:val="24"/>
        </w:rPr>
        <w:t xml:space="preserve"> and good practices]</w:t>
      </w:r>
    </w:p>
    <w:p w14:paraId="620B43D1" w14:textId="77777777" w:rsidR="00E4237A" w:rsidRDefault="00E4237A" w:rsidP="00CE6267">
      <w:pPr>
        <w:spacing w:after="0"/>
        <w:jc w:val="both"/>
        <w:rPr>
          <w:rFonts w:ascii="Times New Roman" w:hAnsi="Times New Roman" w:cs="Times New Roman"/>
          <w:b/>
          <w:i/>
          <w:sz w:val="24"/>
          <w:szCs w:val="24"/>
        </w:rPr>
      </w:pPr>
    </w:p>
    <w:p w14:paraId="4179283B" w14:textId="03FBEFF6" w:rsidR="008A0366" w:rsidRPr="00962BB7" w:rsidRDefault="00F73284" w:rsidP="00962BB7">
      <w:pPr>
        <w:pStyle w:val="Heading3"/>
        <w:spacing w:before="0" w:after="0"/>
      </w:pPr>
      <w:bookmarkStart w:id="89" w:name="_Toc524340605"/>
      <w:r w:rsidRPr="00962BB7">
        <w:t>M</w:t>
      </w:r>
      <w:r w:rsidR="008A0366" w:rsidRPr="00962BB7">
        <w:t>arket failures</w:t>
      </w:r>
      <w:bookmarkEnd w:id="89"/>
    </w:p>
    <w:p w14:paraId="118662C1" w14:textId="77777777" w:rsidR="006A7377" w:rsidRDefault="0027020A"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 xml:space="preserve">The NEEAP Guidance, Annex B, Section 3(b) included an analysis of barriers as one of the elements of information that should be provided and according to </w:t>
      </w:r>
      <w:r w:rsidRPr="00B76110">
        <w:rPr>
          <w:rFonts w:ascii="Times New Roman" w:hAnsi="Times New Roman" w:cs="Times New Roman"/>
          <w:sz w:val="24"/>
          <w:szCs w:val="24"/>
        </w:rPr>
        <w:t xml:space="preserve">Section 3(d) of Annex B, new policy measures should address those barriers. </w:t>
      </w:r>
    </w:p>
    <w:p w14:paraId="653594BF" w14:textId="77777777" w:rsidR="00E4237A" w:rsidRDefault="00E4237A" w:rsidP="00CE6267">
      <w:pPr>
        <w:spacing w:after="0"/>
        <w:jc w:val="both"/>
        <w:rPr>
          <w:rFonts w:ascii="Times New Roman" w:hAnsi="Times New Roman" w:cs="Times New Roman"/>
          <w:sz w:val="24"/>
          <w:szCs w:val="24"/>
        </w:rPr>
      </w:pPr>
    </w:p>
    <w:p w14:paraId="6C0991E6" w14:textId="6B874DE4" w:rsidR="0027020A" w:rsidRDefault="0027020A" w:rsidP="00CE6267">
      <w:pPr>
        <w:spacing w:after="0"/>
        <w:jc w:val="both"/>
        <w:rPr>
          <w:rFonts w:ascii="Times New Roman" w:hAnsi="Times New Roman" w:cs="Times New Roman"/>
          <w:sz w:val="24"/>
          <w:szCs w:val="24"/>
        </w:rPr>
      </w:pPr>
      <w:r w:rsidRPr="00B76110">
        <w:rPr>
          <w:rFonts w:ascii="Times New Roman" w:hAnsi="Times New Roman" w:cs="Times New Roman"/>
          <w:sz w:val="24"/>
          <w:szCs w:val="24"/>
        </w:rPr>
        <w:t>The Impact Assessment that accompanied the proposal to revise the EPBD</w:t>
      </w:r>
      <w:r w:rsidRPr="00B76110">
        <w:rPr>
          <w:rStyle w:val="FootnoteReference"/>
          <w:rFonts w:ascii="Times New Roman" w:hAnsi="Times New Roman" w:cs="Times New Roman"/>
          <w:sz w:val="24"/>
          <w:szCs w:val="24"/>
        </w:rPr>
        <w:footnoteReference w:id="27"/>
      </w:r>
      <w:r w:rsidRPr="00B76110">
        <w:rPr>
          <w:rFonts w:ascii="Times New Roman" w:hAnsi="Times New Roman" w:cs="Times New Roman"/>
          <w:sz w:val="24"/>
          <w:szCs w:val="24"/>
        </w:rPr>
        <w:t xml:space="preserve"> also addresses barriers</w:t>
      </w:r>
      <w:r w:rsidRPr="00424530">
        <w:rPr>
          <w:rFonts w:ascii="Times New Roman" w:hAnsi="Times New Roman" w:cs="Times New Roman"/>
          <w:sz w:val="24"/>
          <w:szCs w:val="24"/>
        </w:rPr>
        <w:t xml:space="preserve"> that hamper further uptake of energy efficiency investments in buildings.</w:t>
      </w:r>
      <w:r w:rsidRPr="00000176">
        <w:rPr>
          <w:rFonts w:ascii="Times New Roman" w:hAnsi="Times New Roman" w:cs="Times New Roman"/>
          <w:i/>
          <w:sz w:val="24"/>
          <w:szCs w:val="24"/>
        </w:rPr>
        <w:t xml:space="preserve"> </w:t>
      </w:r>
      <w:r w:rsidRPr="00000176">
        <w:rPr>
          <w:rFonts w:ascii="Times New Roman" w:hAnsi="Times New Roman" w:cs="Times New Roman"/>
          <w:sz w:val="24"/>
          <w:szCs w:val="24"/>
        </w:rPr>
        <w:t xml:space="preserve"> </w:t>
      </w:r>
    </w:p>
    <w:p w14:paraId="53984BD6" w14:textId="77777777" w:rsidR="00E4237A" w:rsidRDefault="00E4237A" w:rsidP="00CE6267">
      <w:pPr>
        <w:spacing w:after="0"/>
        <w:jc w:val="both"/>
        <w:rPr>
          <w:rFonts w:ascii="Times New Roman" w:hAnsi="Times New Roman" w:cs="Times New Roman"/>
          <w:b/>
          <w:i/>
          <w:sz w:val="24"/>
          <w:szCs w:val="24"/>
        </w:rPr>
      </w:pPr>
    </w:p>
    <w:p w14:paraId="652AE435" w14:textId="61B0BC85" w:rsidR="008A0366" w:rsidRPr="00962BB7" w:rsidRDefault="009C62A6" w:rsidP="00962BB7">
      <w:pPr>
        <w:pStyle w:val="Heading3"/>
        <w:spacing w:before="0" w:after="0"/>
      </w:pPr>
      <w:bookmarkStart w:id="90" w:name="_Toc524340606"/>
      <w:r w:rsidRPr="00962BB7">
        <w:t>Alleviation of energy poverty</w:t>
      </w:r>
      <w:bookmarkEnd w:id="90"/>
    </w:p>
    <w:p w14:paraId="11A85F5A" w14:textId="462F0B95" w:rsidR="006A5C30" w:rsidRPr="00EF5548" w:rsidRDefault="006A5C30" w:rsidP="00CE6267">
      <w:pPr>
        <w:spacing w:after="0"/>
        <w:jc w:val="both"/>
        <w:rPr>
          <w:rFonts w:ascii="Times New Roman" w:hAnsi="Times New Roman" w:cs="Times New Roman"/>
          <w:sz w:val="24"/>
          <w:szCs w:val="24"/>
        </w:rPr>
      </w:pPr>
      <w:r w:rsidRPr="00281205">
        <w:rPr>
          <w:rFonts w:ascii="Times New Roman" w:hAnsi="Times New Roman" w:cs="Times New Roman"/>
          <w:sz w:val="24"/>
          <w:szCs w:val="24"/>
        </w:rPr>
        <w:t xml:space="preserve">The JRC’s assessment of the 2017 LTRS gives an overview of the direct (specific policies and measures) and indirect references (general strategies or initiatives) that Member States have made to on-going or planned efforts related to energy poverty. Many of the measures concern financial incentives targeting segments of the population considered under energy </w:t>
      </w:r>
      <w:r w:rsidRPr="00EF5548">
        <w:rPr>
          <w:rFonts w:ascii="Times New Roman" w:hAnsi="Times New Roman" w:cs="Times New Roman"/>
          <w:sz w:val="24"/>
          <w:szCs w:val="24"/>
        </w:rPr>
        <w:t xml:space="preserve">poverty line, </w:t>
      </w:r>
      <w:r w:rsidRPr="00EF5548">
        <w:rPr>
          <w:rFonts w:ascii="Times New Roman" w:hAnsi="Times New Roman" w:cs="Times New Roman"/>
          <w:sz w:val="24"/>
          <w:szCs w:val="24"/>
        </w:rPr>
        <w:lastRenderedPageBreak/>
        <w:t>low-income households or social housing units. Some countries introduced specific actions targeting energy poverty under their energy efficiency obligation schemes, while other set up dedicated awareness raising and advisory services.</w:t>
      </w:r>
    </w:p>
    <w:p w14:paraId="2D791A18" w14:textId="77777777" w:rsidR="00E4237A" w:rsidRDefault="00E4237A" w:rsidP="00CE6267">
      <w:pPr>
        <w:spacing w:after="0"/>
        <w:jc w:val="both"/>
        <w:rPr>
          <w:rFonts w:ascii="Times New Roman" w:hAnsi="Times New Roman" w:cs="Times New Roman"/>
          <w:sz w:val="24"/>
          <w:szCs w:val="24"/>
        </w:rPr>
      </w:pPr>
    </w:p>
    <w:p w14:paraId="4B309B94" w14:textId="77777777" w:rsidR="001D16F4" w:rsidRPr="00EF5548" w:rsidRDefault="006A5C30" w:rsidP="00CE6267">
      <w:pPr>
        <w:spacing w:after="0"/>
        <w:jc w:val="both"/>
        <w:rPr>
          <w:rFonts w:ascii="Times New Roman" w:hAnsi="Times New Roman" w:cs="Times New Roman"/>
          <w:sz w:val="24"/>
          <w:szCs w:val="24"/>
        </w:rPr>
      </w:pPr>
      <w:r w:rsidRPr="00EF5548">
        <w:rPr>
          <w:rFonts w:ascii="Times New Roman" w:hAnsi="Times New Roman" w:cs="Times New Roman"/>
          <w:sz w:val="24"/>
          <w:szCs w:val="24"/>
        </w:rPr>
        <w:t xml:space="preserve">The EU Energy Poverty Observatory is a valuable source of data and statistics. It has developed energy poverty indicators, gathered an extensive catalogue of policy measures and a comprehensive repository of research. The Observatory aims to help stakeholders (policy-makers, NGOs, public authorities of different levels, researchers and practitioners) involved in energy poverty policy designing or its implementation to define the </w:t>
      </w:r>
      <w:proofErr w:type="gramStart"/>
      <w:r w:rsidRPr="00EF5548">
        <w:rPr>
          <w:rFonts w:ascii="Times New Roman" w:hAnsi="Times New Roman" w:cs="Times New Roman"/>
          <w:sz w:val="24"/>
          <w:szCs w:val="24"/>
        </w:rPr>
        <w:t>phenomenon, and</w:t>
      </w:r>
      <w:proofErr w:type="gramEnd"/>
      <w:r w:rsidRPr="00EF5548">
        <w:rPr>
          <w:rFonts w:ascii="Times New Roman" w:hAnsi="Times New Roman" w:cs="Times New Roman"/>
          <w:sz w:val="24"/>
          <w:szCs w:val="24"/>
        </w:rPr>
        <w:t xml:space="preserve"> advise on measuring it. It also facilitates exchange of good practice and provides training materials. The Observatory can be of assistance to Member States directly in providing advice and expertise – both ad hoc and via its extensive Advisory Board, comprising experienced experts in all the different aspects of energy poverty. </w:t>
      </w:r>
    </w:p>
    <w:p w14:paraId="19EAD546" w14:textId="77777777" w:rsidR="00E4237A" w:rsidRDefault="00E4237A" w:rsidP="00CE6267">
      <w:pPr>
        <w:spacing w:after="0"/>
        <w:jc w:val="both"/>
        <w:rPr>
          <w:rFonts w:ascii="Times New Roman" w:hAnsi="Times New Roman" w:cs="Times New Roman"/>
          <w:sz w:val="24"/>
          <w:szCs w:val="24"/>
        </w:rPr>
      </w:pPr>
    </w:p>
    <w:p w14:paraId="7C4976EA" w14:textId="77777777" w:rsidR="001D16F4" w:rsidRPr="00EF5548" w:rsidRDefault="006A5C30" w:rsidP="00CE6267">
      <w:pPr>
        <w:spacing w:after="0"/>
        <w:jc w:val="both"/>
        <w:rPr>
          <w:rFonts w:ascii="Times New Roman" w:hAnsi="Times New Roman" w:cs="Times New Roman"/>
          <w:sz w:val="24"/>
          <w:szCs w:val="24"/>
        </w:rPr>
      </w:pPr>
      <w:r w:rsidRPr="00EF5548">
        <w:rPr>
          <w:rFonts w:ascii="Times New Roman" w:hAnsi="Times New Roman" w:cs="Times New Roman"/>
          <w:sz w:val="24"/>
          <w:szCs w:val="24"/>
        </w:rPr>
        <w:t>In France, fuel poverty is addressed through actions of the National housing agency and its ‘</w:t>
      </w:r>
      <w:proofErr w:type="spellStart"/>
      <w:r w:rsidRPr="00EF5548">
        <w:rPr>
          <w:rFonts w:ascii="Times New Roman" w:hAnsi="Times New Roman" w:cs="Times New Roman"/>
          <w:sz w:val="24"/>
          <w:szCs w:val="24"/>
        </w:rPr>
        <w:t>Habiter</w:t>
      </w:r>
      <w:proofErr w:type="spellEnd"/>
      <w:r w:rsidRPr="00EF5548">
        <w:rPr>
          <w:rFonts w:ascii="Times New Roman" w:hAnsi="Times New Roman" w:cs="Times New Roman"/>
          <w:sz w:val="24"/>
          <w:szCs w:val="24"/>
        </w:rPr>
        <w:t xml:space="preserve"> </w:t>
      </w:r>
      <w:proofErr w:type="spellStart"/>
      <w:r w:rsidRPr="00EF5548">
        <w:rPr>
          <w:rFonts w:ascii="Times New Roman" w:hAnsi="Times New Roman" w:cs="Times New Roman"/>
          <w:sz w:val="24"/>
          <w:szCs w:val="24"/>
        </w:rPr>
        <w:t>mieux</w:t>
      </w:r>
      <w:proofErr w:type="spellEnd"/>
      <w:r w:rsidRPr="00EF5548">
        <w:rPr>
          <w:rFonts w:ascii="Times New Roman" w:hAnsi="Times New Roman" w:cs="Times New Roman"/>
          <w:sz w:val="24"/>
          <w:szCs w:val="24"/>
        </w:rPr>
        <w:t xml:space="preserve">’ (Living better) programme. France has also created a new obligation under its energy savings certificates scheme specifically aimed at combating fuel poverty. Actions funded by this scheme will be implemented among low-income households. A "Fuel poverty observatory" was also set up in France with the aim to better measure fuel poverty situations and monitor public and private financial aid granted to disadvantaged households together with actions under local or national initiatives. </w:t>
      </w:r>
    </w:p>
    <w:p w14:paraId="6104AE00" w14:textId="77777777" w:rsidR="00E4237A" w:rsidRDefault="00E4237A" w:rsidP="00CE6267">
      <w:pPr>
        <w:spacing w:after="0"/>
        <w:jc w:val="both"/>
        <w:rPr>
          <w:rFonts w:ascii="Times New Roman" w:hAnsi="Times New Roman" w:cs="Times New Roman"/>
          <w:sz w:val="24"/>
          <w:szCs w:val="24"/>
        </w:rPr>
      </w:pPr>
    </w:p>
    <w:p w14:paraId="1EDD714A" w14:textId="77777777" w:rsidR="001D16F4" w:rsidRPr="00EF5548" w:rsidRDefault="006A5C30" w:rsidP="00CE6267">
      <w:pPr>
        <w:spacing w:after="0"/>
        <w:jc w:val="both"/>
        <w:rPr>
          <w:rFonts w:ascii="Times New Roman" w:hAnsi="Times New Roman" w:cs="Times New Roman"/>
          <w:sz w:val="24"/>
          <w:szCs w:val="24"/>
        </w:rPr>
      </w:pPr>
      <w:r w:rsidRPr="00EF5548">
        <w:rPr>
          <w:rFonts w:ascii="Times New Roman" w:hAnsi="Times New Roman" w:cs="Times New Roman"/>
          <w:sz w:val="24"/>
          <w:szCs w:val="24"/>
        </w:rPr>
        <w:t>Under the Government’s Strategy to Combat Energy Poverty and the Healthy Ireland Framework, the Irish authorities have set up the Warmth and Wellbeing scheme, a pilot initiative with the objective to validate, in an Irish context, the international evidence that suggests making homes warmer and more energy efficient can have a positive effect on the health and wellbeing of people in energy poverty who are also living with a chronic respiratory condition such as COPD &amp; Asthma. Ireland has also the Social Housing Investment Programme, local authorities are allocated capital funding each year in respect of a range of measures to improve the standard and overall quality of their social housing stock including retrofit measures aimed at improving energy efficiency.</w:t>
      </w:r>
      <w:r w:rsidR="001D16F4" w:rsidRPr="00EF5548">
        <w:rPr>
          <w:rFonts w:ascii="Times New Roman" w:hAnsi="Times New Roman" w:cs="Times New Roman"/>
          <w:sz w:val="24"/>
          <w:szCs w:val="24"/>
        </w:rPr>
        <w:t xml:space="preserve"> </w:t>
      </w:r>
    </w:p>
    <w:p w14:paraId="0B943276" w14:textId="77777777" w:rsidR="00E4237A" w:rsidRDefault="00E4237A" w:rsidP="00CE6267">
      <w:pPr>
        <w:spacing w:after="0"/>
        <w:jc w:val="both"/>
        <w:rPr>
          <w:rFonts w:ascii="Times New Roman" w:hAnsi="Times New Roman" w:cs="Times New Roman"/>
          <w:sz w:val="24"/>
          <w:szCs w:val="24"/>
        </w:rPr>
      </w:pPr>
    </w:p>
    <w:p w14:paraId="70BDAAD1" w14:textId="77777777" w:rsidR="001D16F4" w:rsidRPr="00EF5548" w:rsidRDefault="006A5C30" w:rsidP="00CE6267">
      <w:pPr>
        <w:spacing w:after="0"/>
        <w:jc w:val="both"/>
        <w:rPr>
          <w:rFonts w:ascii="Times New Roman" w:hAnsi="Times New Roman" w:cs="Times New Roman"/>
          <w:sz w:val="24"/>
          <w:szCs w:val="24"/>
        </w:rPr>
      </w:pPr>
      <w:r w:rsidRPr="00EF5548">
        <w:rPr>
          <w:rFonts w:ascii="Times New Roman" w:hAnsi="Times New Roman" w:cs="Times New Roman"/>
          <w:sz w:val="24"/>
          <w:szCs w:val="24"/>
        </w:rPr>
        <w:t xml:space="preserve">In Austria, a bonus factor is included in the energy efficiency obligation scheme whereby savings achieved in low-income households are weighted with a factor of 1.5. In addition, energy suppliers must make an information and advice centre available, including the provision of energy advice related to energy poverty. Other examples of dedicated regional/local programmes in Austria include the energy advice scheme in Vienna, and electricity-saving project for low-income households in the districts of </w:t>
      </w:r>
      <w:proofErr w:type="spellStart"/>
      <w:r w:rsidRPr="00EF5548">
        <w:rPr>
          <w:rFonts w:ascii="Times New Roman" w:hAnsi="Times New Roman" w:cs="Times New Roman"/>
          <w:sz w:val="24"/>
          <w:szCs w:val="24"/>
        </w:rPr>
        <w:t>Braunau</w:t>
      </w:r>
      <w:proofErr w:type="spellEnd"/>
      <w:r w:rsidRPr="00EF5548">
        <w:rPr>
          <w:rFonts w:ascii="Times New Roman" w:hAnsi="Times New Roman" w:cs="Times New Roman"/>
          <w:sz w:val="24"/>
          <w:szCs w:val="24"/>
        </w:rPr>
        <w:t xml:space="preserve">, </w:t>
      </w:r>
      <w:proofErr w:type="spellStart"/>
      <w:r w:rsidRPr="00EF5548">
        <w:rPr>
          <w:rFonts w:ascii="Times New Roman" w:hAnsi="Times New Roman" w:cs="Times New Roman"/>
          <w:sz w:val="24"/>
          <w:szCs w:val="24"/>
        </w:rPr>
        <w:t>Freistadt</w:t>
      </w:r>
      <w:proofErr w:type="spellEnd"/>
      <w:r w:rsidRPr="00EF5548">
        <w:rPr>
          <w:rFonts w:ascii="Times New Roman" w:hAnsi="Times New Roman" w:cs="Times New Roman"/>
          <w:sz w:val="24"/>
          <w:szCs w:val="24"/>
        </w:rPr>
        <w:t xml:space="preserve"> &amp; Linz-Land. </w:t>
      </w:r>
    </w:p>
    <w:p w14:paraId="4F608107" w14:textId="77777777" w:rsidR="00E4237A" w:rsidRDefault="00E4237A" w:rsidP="00CE6267">
      <w:pPr>
        <w:spacing w:after="0"/>
        <w:jc w:val="both"/>
        <w:rPr>
          <w:rFonts w:ascii="Times New Roman" w:hAnsi="Times New Roman" w:cs="Times New Roman"/>
          <w:sz w:val="24"/>
          <w:szCs w:val="24"/>
        </w:rPr>
      </w:pPr>
    </w:p>
    <w:p w14:paraId="5AB7AC51" w14:textId="374F0B96" w:rsidR="006A5C30" w:rsidRPr="00EF5548" w:rsidRDefault="006A5C30" w:rsidP="00CE6267">
      <w:pPr>
        <w:spacing w:after="0"/>
        <w:jc w:val="both"/>
        <w:rPr>
          <w:rFonts w:ascii="Times New Roman" w:hAnsi="Times New Roman" w:cs="Times New Roman"/>
          <w:sz w:val="24"/>
          <w:szCs w:val="24"/>
        </w:rPr>
      </w:pPr>
      <w:r w:rsidRPr="00EF5548">
        <w:rPr>
          <w:rFonts w:ascii="Times New Roman" w:hAnsi="Times New Roman" w:cs="Times New Roman"/>
          <w:sz w:val="24"/>
          <w:szCs w:val="24"/>
        </w:rPr>
        <w:t xml:space="preserve">The Netherlands has put in place the Energy Saving Agreement for the Social Rental Sector, setting the objective for the housing association sector to achieve an energy label B (equivalent to energy index 1.25) on average by 2020. </w:t>
      </w:r>
    </w:p>
    <w:p w14:paraId="4442D12B" w14:textId="77777777" w:rsidR="00E4237A" w:rsidRDefault="00E4237A" w:rsidP="00CE6267">
      <w:pPr>
        <w:pStyle w:val="ListParagraph"/>
        <w:spacing w:after="0"/>
        <w:ind w:left="0"/>
        <w:jc w:val="both"/>
        <w:rPr>
          <w:rFonts w:ascii="Times New Roman" w:hAnsi="Times New Roman" w:cs="Times New Roman"/>
          <w:sz w:val="24"/>
          <w:szCs w:val="24"/>
        </w:rPr>
      </w:pPr>
    </w:p>
    <w:p w14:paraId="535A8CBF" w14:textId="54BF41D3" w:rsidR="006A5C30" w:rsidRPr="00EF5548" w:rsidRDefault="006A5C30" w:rsidP="00CE6267">
      <w:pPr>
        <w:pStyle w:val="ListParagraph"/>
        <w:spacing w:after="0"/>
        <w:ind w:left="0"/>
        <w:jc w:val="both"/>
        <w:rPr>
          <w:rFonts w:ascii="Times New Roman" w:hAnsi="Times New Roman" w:cs="Times New Roman"/>
          <w:sz w:val="24"/>
          <w:szCs w:val="24"/>
        </w:rPr>
      </w:pPr>
      <w:r w:rsidRPr="00EF5548">
        <w:rPr>
          <w:rFonts w:ascii="Times New Roman" w:hAnsi="Times New Roman" w:cs="Times New Roman"/>
          <w:sz w:val="24"/>
          <w:szCs w:val="24"/>
        </w:rPr>
        <w:lastRenderedPageBreak/>
        <w:t>Other examples include the PLAGE SISP programme in the Brussels Capital Region, Subsidies for implementation of individual energy efficiency measures in vulnerable households in Croatia, JESSICA programmes in Lithuania and Czech Republic, personalised advisory services for EE for households with low income in Luxembourg, etc. Italy and France have in place social bonus or discounts on energy bills for low income families.</w:t>
      </w:r>
    </w:p>
    <w:p w14:paraId="55C40925" w14:textId="77777777" w:rsidR="00EF5548" w:rsidRPr="00EF5548" w:rsidRDefault="00EF5548" w:rsidP="00CE6267">
      <w:pPr>
        <w:pStyle w:val="ListParagraph"/>
        <w:spacing w:after="0"/>
        <w:ind w:left="0"/>
        <w:jc w:val="both"/>
        <w:rPr>
          <w:rFonts w:ascii="Times New Roman" w:hAnsi="Times New Roman" w:cs="Times New Roman"/>
          <w:sz w:val="24"/>
          <w:szCs w:val="24"/>
        </w:rPr>
      </w:pPr>
    </w:p>
    <w:p w14:paraId="0F47C89C" w14:textId="72AFC3C7" w:rsidR="00A52226" w:rsidRPr="00EF5548" w:rsidRDefault="00A52226" w:rsidP="00CE6267">
      <w:pPr>
        <w:pStyle w:val="Heading2"/>
        <w:spacing w:before="0" w:after="0"/>
      </w:pPr>
      <w:bookmarkStart w:id="91" w:name="_Toc524340607"/>
      <w:r w:rsidRPr="00EF5548">
        <w:t xml:space="preserve">Policies and actions towards public </w:t>
      </w:r>
      <w:proofErr w:type="gramStart"/>
      <w:r w:rsidRPr="00EF5548">
        <w:t>buildings  (</w:t>
      </w:r>
      <w:proofErr w:type="gramEnd"/>
      <w:r w:rsidRPr="00EF5548">
        <w:t>Article 2a(1)(e))</w:t>
      </w:r>
      <w:bookmarkEnd w:id="91"/>
    </w:p>
    <w:p w14:paraId="4653A3F6" w14:textId="77777777" w:rsidR="00A60526" w:rsidRPr="00EF5548" w:rsidRDefault="00A60526" w:rsidP="00CE6267">
      <w:pPr>
        <w:spacing w:after="0"/>
        <w:jc w:val="both"/>
        <w:rPr>
          <w:rFonts w:ascii="Times New Roman" w:hAnsi="Times New Roman" w:cs="Times New Roman"/>
          <w:i/>
          <w:sz w:val="24"/>
          <w:szCs w:val="24"/>
        </w:rPr>
      </w:pPr>
      <w:r w:rsidRPr="00EF5548">
        <w:rPr>
          <w:rFonts w:ascii="Times New Roman" w:hAnsi="Times New Roman" w:cs="Times New Roman"/>
          <w:i/>
          <w:sz w:val="24"/>
          <w:szCs w:val="24"/>
        </w:rPr>
        <w:t xml:space="preserve">[To be completed – </w:t>
      </w:r>
      <w:proofErr w:type="gramStart"/>
      <w:r w:rsidRPr="00EF5548">
        <w:rPr>
          <w:rFonts w:ascii="Times New Roman" w:hAnsi="Times New Roman" w:cs="Times New Roman"/>
          <w:i/>
          <w:sz w:val="24"/>
          <w:szCs w:val="24"/>
        </w:rPr>
        <w:t>Provide  tips</w:t>
      </w:r>
      <w:proofErr w:type="gramEnd"/>
      <w:r w:rsidRPr="00EF5548">
        <w:rPr>
          <w:rFonts w:ascii="Times New Roman" w:hAnsi="Times New Roman" w:cs="Times New Roman"/>
          <w:i/>
          <w:sz w:val="24"/>
          <w:szCs w:val="24"/>
        </w:rPr>
        <w:t xml:space="preserve"> and good practices]</w:t>
      </w:r>
    </w:p>
    <w:p w14:paraId="11C5F3E7" w14:textId="77777777" w:rsidR="00A60526" w:rsidRPr="00EF5548" w:rsidRDefault="00A60526" w:rsidP="00CE6267">
      <w:pPr>
        <w:pStyle w:val="ListParagraph"/>
        <w:spacing w:after="0"/>
        <w:ind w:left="360"/>
        <w:jc w:val="both"/>
        <w:rPr>
          <w:rFonts w:ascii="Times New Roman" w:hAnsi="Times New Roman" w:cs="Times New Roman"/>
          <w:i/>
          <w:sz w:val="24"/>
          <w:szCs w:val="24"/>
        </w:rPr>
      </w:pPr>
    </w:p>
    <w:p w14:paraId="4FE7C60A" w14:textId="189A3533" w:rsidR="00A52226" w:rsidRPr="00EF5548" w:rsidRDefault="00A52226" w:rsidP="00CE6267">
      <w:pPr>
        <w:pStyle w:val="Heading2"/>
        <w:spacing w:before="0" w:after="0"/>
      </w:pPr>
      <w:bookmarkStart w:id="92" w:name="_Toc524340608"/>
      <w:r w:rsidRPr="00EF5548">
        <w:t>Incentives towards smart technologies and skills (Article 2a(1)(f))</w:t>
      </w:r>
      <w:bookmarkEnd w:id="92"/>
    </w:p>
    <w:p w14:paraId="49B84843" w14:textId="77777777" w:rsidR="007A16A5" w:rsidRPr="00BD2FAA" w:rsidRDefault="007A16A5" w:rsidP="00CE6267">
      <w:pPr>
        <w:spacing w:after="0"/>
        <w:jc w:val="both"/>
        <w:rPr>
          <w:rFonts w:ascii="Times New Roman" w:hAnsi="Times New Roman" w:cs="Times New Roman"/>
          <w:i/>
          <w:sz w:val="24"/>
          <w:szCs w:val="24"/>
        </w:rPr>
      </w:pPr>
      <w:r w:rsidRPr="00BD2FAA">
        <w:rPr>
          <w:rFonts w:ascii="Times New Roman" w:hAnsi="Times New Roman" w:cs="Times New Roman"/>
          <w:i/>
          <w:sz w:val="24"/>
          <w:szCs w:val="24"/>
        </w:rPr>
        <w:t xml:space="preserve">[To be completed – </w:t>
      </w:r>
      <w:proofErr w:type="gramStart"/>
      <w:r w:rsidRPr="00BD2FAA">
        <w:rPr>
          <w:rFonts w:ascii="Times New Roman" w:hAnsi="Times New Roman" w:cs="Times New Roman"/>
          <w:i/>
          <w:sz w:val="24"/>
          <w:szCs w:val="24"/>
        </w:rPr>
        <w:t>Provide  tips</w:t>
      </w:r>
      <w:proofErr w:type="gramEnd"/>
      <w:r w:rsidRPr="00BD2FAA">
        <w:rPr>
          <w:rFonts w:ascii="Times New Roman" w:hAnsi="Times New Roman" w:cs="Times New Roman"/>
          <w:i/>
          <w:sz w:val="24"/>
          <w:szCs w:val="24"/>
        </w:rPr>
        <w:t xml:space="preserve"> and good practices]</w:t>
      </w:r>
    </w:p>
    <w:p w14:paraId="25EBD93D" w14:textId="77777777" w:rsidR="00E4237A" w:rsidRDefault="00E4237A" w:rsidP="00CE6267">
      <w:pPr>
        <w:pStyle w:val="ListParagraph"/>
        <w:spacing w:after="0"/>
        <w:ind w:left="0"/>
        <w:jc w:val="both"/>
        <w:rPr>
          <w:rFonts w:ascii="Times New Roman" w:hAnsi="Times New Roman" w:cs="Times New Roman"/>
          <w:sz w:val="24"/>
          <w:szCs w:val="24"/>
        </w:rPr>
      </w:pPr>
    </w:p>
    <w:p w14:paraId="00F23CEB" w14:textId="77777777" w:rsidR="007A16A5" w:rsidRPr="00BD2FAA" w:rsidRDefault="007A16A5" w:rsidP="00CE6267">
      <w:pPr>
        <w:pStyle w:val="ListParagraph"/>
        <w:spacing w:after="0"/>
        <w:ind w:left="0"/>
        <w:jc w:val="both"/>
        <w:rPr>
          <w:rFonts w:ascii="Times New Roman" w:hAnsi="Times New Roman" w:cs="Times New Roman"/>
          <w:sz w:val="24"/>
          <w:szCs w:val="24"/>
        </w:rPr>
      </w:pPr>
      <w:r w:rsidRPr="00BD2FAA">
        <w:rPr>
          <w:rFonts w:ascii="Times New Roman" w:hAnsi="Times New Roman" w:cs="Times New Roman"/>
          <w:sz w:val="24"/>
          <w:szCs w:val="24"/>
        </w:rPr>
        <w:t>BUILD UP Skills</w:t>
      </w:r>
      <w:r w:rsidRPr="00BD2FAA">
        <w:rPr>
          <w:rStyle w:val="FootnoteReference"/>
          <w:rFonts w:ascii="Times New Roman" w:hAnsi="Times New Roman" w:cs="Times New Roman"/>
          <w:sz w:val="24"/>
          <w:szCs w:val="24"/>
        </w:rPr>
        <w:footnoteReference w:id="28"/>
      </w:r>
      <w:r w:rsidRPr="00BD2FAA">
        <w:rPr>
          <w:rFonts w:ascii="Times New Roman" w:hAnsi="Times New Roman" w:cs="Times New Roman"/>
          <w:sz w:val="24"/>
          <w:szCs w:val="24"/>
        </w:rPr>
        <w:t xml:space="preserve"> is an initiative which aims to unite forces and to increase the number of qualified workers in the building workforce in Europe. The project focuses on the continuing education and training of craftsmen and women and other on-site workers in the field of energy efficiency and renewable energy in buildings and has three main components.</w:t>
      </w:r>
    </w:p>
    <w:p w14:paraId="6817BCD7" w14:textId="0BBFBAD8" w:rsidR="007A16A5" w:rsidRPr="00231B0D" w:rsidRDefault="007A16A5"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Establishment of national qualification platforms and qualification roadmaps to 2020 (Pillar I: 2011-2013);</w:t>
      </w:r>
    </w:p>
    <w:p w14:paraId="71B46A28" w14:textId="3D58A513" w:rsidR="007A16A5" w:rsidRPr="00231B0D" w:rsidRDefault="007A16A5"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Development and upgrade of qualification and training schemes (Pillar II: from 2013);</w:t>
      </w:r>
    </w:p>
    <w:p w14:paraId="315974F9" w14:textId="0CC1A16C" w:rsidR="007A16A5" w:rsidRPr="00231B0D" w:rsidRDefault="007A16A5" w:rsidP="00231B0D">
      <w:pPr>
        <w:pStyle w:val="ListParagraph"/>
        <w:numPr>
          <w:ilvl w:val="0"/>
          <w:numId w:val="9"/>
        </w:numPr>
        <w:spacing w:after="0"/>
        <w:jc w:val="both"/>
        <w:rPr>
          <w:rFonts w:ascii="Times New Roman" w:hAnsi="Times New Roman" w:cs="Times New Roman"/>
          <w:color w:val="000000"/>
          <w:sz w:val="24"/>
          <w:szCs w:val="24"/>
        </w:rPr>
      </w:pPr>
      <w:r w:rsidRPr="00231B0D">
        <w:rPr>
          <w:rFonts w:ascii="Times New Roman" w:hAnsi="Times New Roman" w:cs="Times New Roman"/>
          <w:color w:val="000000"/>
          <w:sz w:val="24"/>
          <w:szCs w:val="24"/>
        </w:rPr>
        <w:t>Europe-wide coordinated support activities (EU exchanges).</w:t>
      </w:r>
    </w:p>
    <w:p w14:paraId="4FE93246" w14:textId="77777777" w:rsidR="007A16A5" w:rsidRPr="00231B0D" w:rsidRDefault="007A16A5" w:rsidP="00231B0D">
      <w:pPr>
        <w:pStyle w:val="ListParagraph"/>
        <w:spacing w:after="0"/>
        <w:ind w:left="1211"/>
        <w:jc w:val="both"/>
        <w:rPr>
          <w:rFonts w:ascii="Times New Roman" w:hAnsi="Times New Roman" w:cs="Times New Roman"/>
          <w:color w:val="000000"/>
          <w:sz w:val="24"/>
          <w:szCs w:val="24"/>
        </w:rPr>
      </w:pPr>
    </w:p>
    <w:p w14:paraId="403A7BA6" w14:textId="179A53FE" w:rsidR="007A16A5" w:rsidRPr="00962BB7" w:rsidRDefault="00BF064A" w:rsidP="00962BB7">
      <w:pPr>
        <w:pStyle w:val="Heading3"/>
        <w:spacing w:before="0" w:after="0"/>
      </w:pPr>
      <w:bookmarkStart w:id="93" w:name="_Toc524340609"/>
      <w:r w:rsidRPr="00962BB7">
        <w:t>S</w:t>
      </w:r>
      <w:r w:rsidR="007A16A5" w:rsidRPr="00962BB7">
        <w:t>kills development schemes</w:t>
      </w:r>
      <w:bookmarkEnd w:id="93"/>
    </w:p>
    <w:p w14:paraId="1EA66F71" w14:textId="77777777" w:rsidR="007A16A5" w:rsidRPr="00BD2FAA" w:rsidRDefault="007A16A5" w:rsidP="00CE6267">
      <w:pPr>
        <w:pStyle w:val="ListParagraph"/>
        <w:spacing w:after="0"/>
        <w:ind w:left="0"/>
        <w:jc w:val="both"/>
        <w:rPr>
          <w:rFonts w:ascii="Times New Roman" w:hAnsi="Times New Roman" w:cs="Times New Roman"/>
          <w:i/>
          <w:sz w:val="24"/>
          <w:szCs w:val="24"/>
        </w:rPr>
      </w:pPr>
      <w:r w:rsidRPr="00BD2FAA">
        <w:rPr>
          <w:rFonts w:ascii="Times New Roman" w:hAnsi="Times New Roman" w:cs="Times New Roman"/>
          <w:i/>
          <w:sz w:val="24"/>
          <w:szCs w:val="24"/>
        </w:rPr>
        <w:t>[hyperlinks to be added]</w:t>
      </w:r>
    </w:p>
    <w:p w14:paraId="720DF73F" w14:textId="77777777" w:rsidR="007A16A5" w:rsidRPr="00BD2FAA" w:rsidRDefault="007A16A5" w:rsidP="00CE6267">
      <w:pPr>
        <w:pStyle w:val="ListParagraph"/>
        <w:spacing w:after="0"/>
        <w:ind w:left="0"/>
        <w:jc w:val="both"/>
        <w:rPr>
          <w:rFonts w:ascii="Times New Roman" w:hAnsi="Times New Roman" w:cs="Times New Roman"/>
          <w:sz w:val="24"/>
          <w:szCs w:val="24"/>
        </w:rPr>
      </w:pPr>
    </w:p>
    <w:p w14:paraId="1CD32ABE" w14:textId="77777777" w:rsidR="007A16A5" w:rsidRPr="00BD2FAA" w:rsidRDefault="007A16A5" w:rsidP="00CE6267">
      <w:pPr>
        <w:pStyle w:val="ListParagraph"/>
        <w:spacing w:after="0"/>
        <w:ind w:left="0"/>
        <w:jc w:val="both"/>
        <w:rPr>
          <w:rFonts w:ascii="Times New Roman" w:hAnsi="Times New Roman" w:cs="Times New Roman"/>
          <w:sz w:val="24"/>
          <w:szCs w:val="24"/>
        </w:rPr>
      </w:pPr>
      <w:r w:rsidRPr="00BD2FAA">
        <w:rPr>
          <w:rFonts w:ascii="Times New Roman" w:hAnsi="Times New Roman" w:cs="Times New Roman"/>
          <w:sz w:val="24"/>
          <w:szCs w:val="24"/>
        </w:rPr>
        <w:t>BUILD UP Skills Construye2020 (Spain): The project developed an app for mobile devices which can be used as a training tool on good practices for the renovation of buildings related to different activities covering notably aluminium carpentry, insulation, renewable energy systems, energy efficiency and efficient installations. The project is working with the national qualification institute to develop a new qualification for the installer of ground source heat pumps.</w:t>
      </w:r>
    </w:p>
    <w:p w14:paraId="6C1B826E" w14:textId="77777777" w:rsidR="007A16A5" w:rsidRPr="00BD2FAA" w:rsidRDefault="007A16A5" w:rsidP="00CE6267">
      <w:pPr>
        <w:pStyle w:val="ListParagraph"/>
        <w:spacing w:after="0"/>
        <w:ind w:left="0"/>
        <w:jc w:val="both"/>
        <w:rPr>
          <w:rFonts w:ascii="Times New Roman" w:hAnsi="Times New Roman" w:cs="Times New Roman"/>
          <w:sz w:val="24"/>
          <w:szCs w:val="24"/>
        </w:rPr>
      </w:pPr>
    </w:p>
    <w:p w14:paraId="766793C5" w14:textId="77777777" w:rsidR="007A16A5" w:rsidRPr="00BD2FAA" w:rsidRDefault="007A16A5" w:rsidP="00CE6267">
      <w:pPr>
        <w:pStyle w:val="ListParagraph"/>
        <w:spacing w:after="0"/>
        <w:ind w:left="0"/>
        <w:jc w:val="both"/>
        <w:rPr>
          <w:rFonts w:ascii="Times New Roman" w:hAnsi="Times New Roman" w:cs="Times New Roman"/>
          <w:sz w:val="24"/>
          <w:szCs w:val="24"/>
        </w:rPr>
      </w:pPr>
      <w:r w:rsidRPr="00BD2FAA">
        <w:rPr>
          <w:rFonts w:ascii="Times New Roman" w:hAnsi="Times New Roman" w:cs="Times New Roman"/>
          <w:sz w:val="24"/>
          <w:szCs w:val="24"/>
        </w:rPr>
        <w:t xml:space="preserve">BUILD UP Skills </w:t>
      </w:r>
      <w:proofErr w:type="spellStart"/>
      <w:r w:rsidRPr="00BD2FAA">
        <w:rPr>
          <w:rFonts w:ascii="Times New Roman" w:hAnsi="Times New Roman" w:cs="Times New Roman"/>
          <w:sz w:val="24"/>
          <w:szCs w:val="24"/>
        </w:rPr>
        <w:t>Netherlands@Work</w:t>
      </w:r>
      <w:proofErr w:type="spellEnd"/>
      <w:r w:rsidRPr="00BD2FAA">
        <w:rPr>
          <w:rFonts w:ascii="Times New Roman" w:hAnsi="Times New Roman" w:cs="Times New Roman"/>
          <w:sz w:val="24"/>
          <w:szCs w:val="24"/>
        </w:rPr>
        <w:t xml:space="preserve"> (Netherlands): Eight profiles of </w:t>
      </w:r>
      <w:proofErr w:type="gramStart"/>
      <w:r w:rsidRPr="00BD2FAA">
        <w:rPr>
          <w:rFonts w:ascii="Times New Roman" w:hAnsi="Times New Roman" w:cs="Times New Roman"/>
          <w:sz w:val="24"/>
          <w:szCs w:val="24"/>
        </w:rPr>
        <w:t>blue collar</w:t>
      </w:r>
      <w:proofErr w:type="gramEnd"/>
      <w:r w:rsidRPr="00BD2FAA">
        <w:rPr>
          <w:rFonts w:ascii="Times New Roman" w:hAnsi="Times New Roman" w:cs="Times New Roman"/>
          <w:sz w:val="24"/>
          <w:szCs w:val="24"/>
        </w:rPr>
        <w:t xml:space="preserve"> professional competences have been created constituting competence profiles for an occupation including the skills required when building energy-neutral buildings. The project developed an app for mobile devices which enables blue collar workers to choose the adequate course based on their previous knowledge.</w:t>
      </w:r>
    </w:p>
    <w:p w14:paraId="7E9CD649" w14:textId="77777777" w:rsidR="007A16A5" w:rsidRPr="00BD2FAA" w:rsidRDefault="007A16A5" w:rsidP="00CE6267">
      <w:pPr>
        <w:pStyle w:val="ListParagraph"/>
        <w:spacing w:after="0"/>
        <w:ind w:left="0"/>
        <w:jc w:val="both"/>
        <w:rPr>
          <w:rFonts w:ascii="Times New Roman" w:hAnsi="Times New Roman" w:cs="Times New Roman"/>
          <w:sz w:val="24"/>
          <w:szCs w:val="24"/>
        </w:rPr>
      </w:pPr>
    </w:p>
    <w:p w14:paraId="61D5BA1C" w14:textId="77777777" w:rsidR="007A16A5" w:rsidRPr="00BD2FAA" w:rsidRDefault="007A16A5" w:rsidP="00CE6267">
      <w:pPr>
        <w:pStyle w:val="ListParagraph"/>
        <w:spacing w:after="0"/>
        <w:ind w:left="0"/>
        <w:jc w:val="both"/>
        <w:rPr>
          <w:rFonts w:ascii="Times New Roman" w:hAnsi="Times New Roman" w:cs="Times New Roman"/>
          <w:sz w:val="24"/>
          <w:szCs w:val="24"/>
        </w:rPr>
      </w:pPr>
      <w:r w:rsidRPr="00BD2FAA">
        <w:rPr>
          <w:rFonts w:ascii="Times New Roman" w:hAnsi="Times New Roman" w:cs="Times New Roman"/>
          <w:sz w:val="24"/>
          <w:szCs w:val="24"/>
        </w:rPr>
        <w:t xml:space="preserve">BUILD UP Skills BEEP (Finland): the BEEP partners have developed an innovative training concept (both for trainers &amp; workers) based on best-practice of energy-efficient construction, based on a comprehensive toolbox including: sets of slides and didactic videos in 5 languages, material dedicated to workers self-learning, a pilot training for 'change agents' (experienced </w:t>
      </w:r>
      <w:r w:rsidRPr="00BD2FAA">
        <w:rPr>
          <w:rFonts w:ascii="Times New Roman" w:hAnsi="Times New Roman" w:cs="Times New Roman"/>
          <w:sz w:val="24"/>
          <w:szCs w:val="24"/>
        </w:rPr>
        <w:lastRenderedPageBreak/>
        <w:t>workers/mentors who can help to set an example and explain how to improve the quality of the work) and an on-site training ambassador who plays a critical role in attracting workers' to the pilot trainings.</w:t>
      </w:r>
    </w:p>
    <w:p w14:paraId="5F51AD4B" w14:textId="77777777" w:rsidR="007A16A5" w:rsidRPr="00BD2FAA" w:rsidRDefault="007A16A5" w:rsidP="00CE6267">
      <w:pPr>
        <w:pStyle w:val="ListParagraph"/>
        <w:spacing w:after="0"/>
        <w:ind w:left="0"/>
        <w:jc w:val="both"/>
        <w:rPr>
          <w:rFonts w:ascii="Times New Roman" w:hAnsi="Times New Roman" w:cs="Times New Roman"/>
          <w:sz w:val="24"/>
          <w:szCs w:val="24"/>
        </w:rPr>
      </w:pPr>
    </w:p>
    <w:p w14:paraId="5B721061" w14:textId="77777777" w:rsidR="007A16A5" w:rsidRPr="00BD2FAA" w:rsidRDefault="007A16A5" w:rsidP="00CE6267">
      <w:pPr>
        <w:pStyle w:val="ListParagraph"/>
        <w:spacing w:after="0"/>
        <w:ind w:left="0"/>
        <w:jc w:val="both"/>
        <w:rPr>
          <w:rFonts w:ascii="Times New Roman" w:hAnsi="Times New Roman" w:cs="Times New Roman"/>
          <w:sz w:val="24"/>
          <w:szCs w:val="24"/>
        </w:rPr>
      </w:pPr>
      <w:r w:rsidRPr="00BD2FAA">
        <w:rPr>
          <w:rFonts w:ascii="Times New Roman" w:hAnsi="Times New Roman" w:cs="Times New Roman"/>
          <w:sz w:val="24"/>
          <w:szCs w:val="24"/>
        </w:rPr>
        <w:t xml:space="preserve">BUILD UP Skills </w:t>
      </w:r>
      <w:proofErr w:type="spellStart"/>
      <w:r w:rsidRPr="00BD2FAA">
        <w:rPr>
          <w:rFonts w:ascii="Times New Roman" w:hAnsi="Times New Roman" w:cs="Times New Roman"/>
          <w:sz w:val="24"/>
          <w:szCs w:val="24"/>
        </w:rPr>
        <w:t>Qualishell</w:t>
      </w:r>
      <w:proofErr w:type="spellEnd"/>
      <w:r w:rsidRPr="00BD2FAA">
        <w:rPr>
          <w:rFonts w:ascii="Times New Roman" w:hAnsi="Times New Roman" w:cs="Times New Roman"/>
          <w:sz w:val="24"/>
          <w:szCs w:val="24"/>
        </w:rPr>
        <w:t xml:space="preserve"> (Romania): The project supported the implementation of national qualification schemes for installers of thermal insulating systems and high efficiency windows systems to ensure high performance building envelopes and support the move towards the implementation of NZEBs.</w:t>
      </w:r>
    </w:p>
    <w:p w14:paraId="41EB35ED" w14:textId="77777777" w:rsidR="007A16A5" w:rsidRPr="00BD2FAA" w:rsidRDefault="007A16A5" w:rsidP="00CE6267">
      <w:pPr>
        <w:pStyle w:val="ListParagraph"/>
        <w:spacing w:after="0"/>
        <w:ind w:left="0"/>
        <w:jc w:val="both"/>
        <w:rPr>
          <w:rFonts w:ascii="Times New Roman" w:hAnsi="Times New Roman" w:cs="Times New Roman"/>
          <w:sz w:val="24"/>
          <w:szCs w:val="24"/>
        </w:rPr>
      </w:pPr>
    </w:p>
    <w:p w14:paraId="77809305" w14:textId="7E7353FF" w:rsidR="007A16A5" w:rsidRPr="00962BB7" w:rsidRDefault="00BF064A" w:rsidP="00962BB7">
      <w:pPr>
        <w:pStyle w:val="Heading3"/>
        <w:spacing w:before="0" w:after="0"/>
      </w:pPr>
      <w:bookmarkStart w:id="94" w:name="_Toc524340610"/>
      <w:r w:rsidRPr="00962BB7">
        <w:t>T</w:t>
      </w:r>
      <w:r w:rsidR="007A16A5" w:rsidRPr="00962BB7">
        <w:t>raining/certification for experts</w:t>
      </w:r>
      <w:bookmarkEnd w:id="94"/>
    </w:p>
    <w:p w14:paraId="667CC2C5" w14:textId="77777777" w:rsidR="007A16A5" w:rsidRPr="00BD2FAA" w:rsidRDefault="007A16A5" w:rsidP="00CE6267">
      <w:pPr>
        <w:pStyle w:val="ListParagraph"/>
        <w:spacing w:after="0"/>
        <w:ind w:left="0"/>
        <w:jc w:val="both"/>
        <w:rPr>
          <w:rFonts w:ascii="Times New Roman" w:hAnsi="Times New Roman" w:cs="Times New Roman"/>
          <w:sz w:val="24"/>
          <w:szCs w:val="24"/>
        </w:rPr>
      </w:pPr>
      <w:r w:rsidRPr="00BD2FAA">
        <w:rPr>
          <w:rFonts w:ascii="Times New Roman" w:hAnsi="Times New Roman" w:cs="Times New Roman"/>
          <w:sz w:val="24"/>
          <w:szCs w:val="24"/>
        </w:rPr>
        <w:t>Germany: the national list of energy efficiency experts for the support programmes of the Federal Government in the field of energy efficiency aims to improve the quality of local energy consulting services by means of uniform qualification criteria, proof of regular advanced training and random checks of the results.</w:t>
      </w:r>
    </w:p>
    <w:p w14:paraId="5B48E5EB" w14:textId="77777777" w:rsidR="007A16A5" w:rsidRPr="00BD2FAA" w:rsidRDefault="007A16A5" w:rsidP="00CE6267">
      <w:pPr>
        <w:pStyle w:val="ListParagraph"/>
        <w:spacing w:after="0"/>
        <w:ind w:left="0"/>
        <w:jc w:val="both"/>
        <w:rPr>
          <w:rFonts w:ascii="Times New Roman" w:hAnsi="Times New Roman" w:cs="Times New Roman"/>
          <w:sz w:val="24"/>
          <w:szCs w:val="24"/>
        </w:rPr>
      </w:pPr>
    </w:p>
    <w:p w14:paraId="16A946DC" w14:textId="77777777" w:rsidR="007A16A5" w:rsidRPr="00BD2FAA" w:rsidRDefault="007A16A5" w:rsidP="00CE6267">
      <w:pPr>
        <w:pStyle w:val="ListParagraph"/>
        <w:spacing w:after="0"/>
        <w:ind w:left="0"/>
        <w:jc w:val="both"/>
        <w:rPr>
          <w:rFonts w:ascii="Times New Roman" w:hAnsi="Times New Roman" w:cs="Times New Roman"/>
          <w:sz w:val="24"/>
          <w:szCs w:val="24"/>
        </w:rPr>
      </w:pPr>
      <w:r w:rsidRPr="00BD2FAA">
        <w:rPr>
          <w:rFonts w:ascii="Times New Roman" w:hAnsi="Times New Roman" w:cs="Times New Roman"/>
          <w:sz w:val="24"/>
          <w:szCs w:val="24"/>
        </w:rPr>
        <w:t>Slovenia: a common training/certification article in its legislation for all three Directives EED, EPBD and RES and is achieving synergies by implementing a co</w:t>
      </w:r>
      <w:r w:rsidRPr="00BD2FAA">
        <w:rPr>
          <w:rFonts w:ascii="Cambria Math" w:hAnsi="Cambria Math" w:cs="Cambria Math"/>
          <w:sz w:val="24"/>
          <w:szCs w:val="24"/>
        </w:rPr>
        <w:t>‐</w:t>
      </w:r>
      <w:r w:rsidRPr="00BD2FAA">
        <w:rPr>
          <w:rFonts w:ascii="Times New Roman" w:hAnsi="Times New Roman" w:cs="Times New Roman"/>
          <w:sz w:val="24"/>
          <w:szCs w:val="24"/>
        </w:rPr>
        <w:t>ordinated modular training approach.</w:t>
      </w:r>
    </w:p>
    <w:p w14:paraId="77101B45" w14:textId="77777777" w:rsidR="007A16A5" w:rsidRPr="00BD2FAA" w:rsidRDefault="007A16A5" w:rsidP="00CE6267">
      <w:pPr>
        <w:pStyle w:val="ListParagraph"/>
        <w:spacing w:after="0"/>
        <w:ind w:left="0"/>
        <w:jc w:val="both"/>
        <w:rPr>
          <w:rFonts w:ascii="Times New Roman" w:hAnsi="Times New Roman" w:cs="Times New Roman"/>
          <w:sz w:val="24"/>
          <w:szCs w:val="24"/>
        </w:rPr>
      </w:pPr>
    </w:p>
    <w:p w14:paraId="3FF30C7E" w14:textId="77777777" w:rsidR="007A16A5" w:rsidRPr="00BD2FAA" w:rsidRDefault="007A16A5" w:rsidP="00CE6267">
      <w:pPr>
        <w:pStyle w:val="ListParagraph"/>
        <w:spacing w:after="0"/>
        <w:ind w:left="0"/>
        <w:jc w:val="both"/>
        <w:rPr>
          <w:rFonts w:ascii="Times New Roman" w:hAnsi="Times New Roman" w:cs="Times New Roman"/>
          <w:sz w:val="24"/>
          <w:szCs w:val="24"/>
        </w:rPr>
      </w:pPr>
      <w:r w:rsidRPr="00BD2FAA">
        <w:rPr>
          <w:rFonts w:ascii="Times New Roman" w:hAnsi="Times New Roman" w:cs="Times New Roman"/>
          <w:sz w:val="24"/>
          <w:szCs w:val="24"/>
        </w:rPr>
        <w:t xml:space="preserve">Croatia: training programmes on energy efficiency for professionals (architecture, construction and building services) have been implemented since 2009. The objective is to enhance knowledge of engineers that, with their competencies, </w:t>
      </w:r>
      <w:proofErr w:type="gramStart"/>
      <w:r w:rsidRPr="00BD2FAA">
        <w:rPr>
          <w:rFonts w:ascii="Times New Roman" w:hAnsi="Times New Roman" w:cs="Times New Roman"/>
          <w:sz w:val="24"/>
          <w:szCs w:val="24"/>
        </w:rPr>
        <w:t>are able to</w:t>
      </w:r>
      <w:proofErr w:type="gramEnd"/>
      <w:r w:rsidRPr="00BD2FAA">
        <w:rPr>
          <w:rFonts w:ascii="Times New Roman" w:hAnsi="Times New Roman" w:cs="Times New Roman"/>
          <w:sz w:val="24"/>
          <w:szCs w:val="24"/>
        </w:rPr>
        <w:t xml:space="preserve"> consider construction works and buildings as a whole in terms of energy.</w:t>
      </w:r>
    </w:p>
    <w:p w14:paraId="5C9FC1F5" w14:textId="77777777" w:rsidR="00EF5548" w:rsidRPr="00EF5548" w:rsidRDefault="00EF5548" w:rsidP="00CE6267">
      <w:pPr>
        <w:pStyle w:val="ListParagraph"/>
        <w:spacing w:after="0"/>
        <w:ind w:left="360"/>
        <w:jc w:val="both"/>
        <w:rPr>
          <w:rFonts w:ascii="Times New Roman" w:hAnsi="Times New Roman" w:cs="Times New Roman"/>
          <w:i/>
          <w:sz w:val="24"/>
          <w:szCs w:val="24"/>
        </w:rPr>
      </w:pPr>
    </w:p>
    <w:p w14:paraId="528DC55C" w14:textId="3BEC9A75" w:rsidR="00465BEE" w:rsidRDefault="00A52226" w:rsidP="00CE6267">
      <w:pPr>
        <w:pStyle w:val="Heading2"/>
        <w:spacing w:before="0" w:after="0"/>
      </w:pPr>
      <w:bookmarkStart w:id="95" w:name="_Toc524340611"/>
      <w:r w:rsidRPr="00EF5548">
        <w:t>Estimat</w:t>
      </w:r>
      <w:r w:rsidR="00D04EB1">
        <w:t>e</w:t>
      </w:r>
      <w:r w:rsidRPr="00EF5548">
        <w:t xml:space="preserve"> of energy savings and wider benefits (Article 2a(1)(g))</w:t>
      </w:r>
      <w:bookmarkEnd w:id="95"/>
    </w:p>
    <w:p w14:paraId="1B36DBD4" w14:textId="5647E381" w:rsidR="00AD3C06" w:rsidRPr="00EF5548" w:rsidRDefault="00BA2238" w:rsidP="00CE6267">
      <w:pPr>
        <w:pStyle w:val="ListParagraph"/>
        <w:spacing w:after="0"/>
        <w:ind w:left="0"/>
        <w:jc w:val="both"/>
        <w:rPr>
          <w:rFonts w:ascii="Times New Roman" w:hAnsi="Times New Roman" w:cs="Times New Roman"/>
          <w:i/>
          <w:sz w:val="24"/>
          <w:szCs w:val="24"/>
        </w:rPr>
      </w:pPr>
      <w:r>
        <w:rPr>
          <w:rFonts w:ascii="Times New Roman" w:hAnsi="Times New Roman" w:cs="Times New Roman"/>
          <w:i/>
          <w:sz w:val="24"/>
          <w:szCs w:val="24"/>
        </w:rPr>
        <w:t>[</w:t>
      </w:r>
      <w:r w:rsidR="00AD3C06" w:rsidRPr="00EF5548">
        <w:rPr>
          <w:rFonts w:ascii="Times New Roman" w:hAnsi="Times New Roman" w:cs="Times New Roman"/>
          <w:i/>
          <w:sz w:val="24"/>
          <w:szCs w:val="24"/>
        </w:rPr>
        <w:t xml:space="preserve">To be completed – </w:t>
      </w:r>
      <w:proofErr w:type="gramStart"/>
      <w:r w:rsidR="00AD3C06" w:rsidRPr="00EF5548">
        <w:rPr>
          <w:rFonts w:ascii="Times New Roman" w:hAnsi="Times New Roman" w:cs="Times New Roman"/>
          <w:i/>
          <w:sz w:val="24"/>
          <w:szCs w:val="24"/>
        </w:rPr>
        <w:t>Provide  tips</w:t>
      </w:r>
      <w:proofErr w:type="gramEnd"/>
      <w:r w:rsidR="00AD3C06" w:rsidRPr="00EF5548">
        <w:rPr>
          <w:rFonts w:ascii="Times New Roman" w:hAnsi="Times New Roman" w:cs="Times New Roman"/>
          <w:i/>
          <w:sz w:val="24"/>
          <w:szCs w:val="24"/>
        </w:rPr>
        <w:t xml:space="preserve"> and good practices]</w:t>
      </w:r>
    </w:p>
    <w:p w14:paraId="77E0B4F5" w14:textId="77777777" w:rsidR="00EF5548" w:rsidRDefault="00EF5548" w:rsidP="00CE6267">
      <w:pPr>
        <w:pStyle w:val="ListParagraph"/>
        <w:spacing w:after="0"/>
        <w:ind w:left="0"/>
        <w:jc w:val="both"/>
        <w:rPr>
          <w:rFonts w:ascii="Times New Roman" w:hAnsi="Times New Roman" w:cs="Times New Roman"/>
          <w:i/>
          <w:sz w:val="24"/>
          <w:szCs w:val="24"/>
        </w:rPr>
      </w:pPr>
    </w:p>
    <w:p w14:paraId="2E6FE1D9" w14:textId="4D43740D" w:rsidR="0027020A" w:rsidRDefault="0027020A"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Section 5 of Annex B of the NEEAP Guidance provided elements that should be evaluated in providing an</w:t>
      </w:r>
      <w:r>
        <w:rPr>
          <w:rFonts w:ascii="Times New Roman" w:hAnsi="Times New Roman" w:cs="Times New Roman"/>
          <w:sz w:val="24"/>
          <w:szCs w:val="24"/>
        </w:rPr>
        <w:t xml:space="preserve"> evidence-based </w:t>
      </w:r>
      <w:r w:rsidRPr="00000176">
        <w:rPr>
          <w:rFonts w:ascii="Times New Roman" w:hAnsi="Times New Roman" w:cs="Times New Roman"/>
          <w:sz w:val="24"/>
          <w:szCs w:val="24"/>
        </w:rPr>
        <w:t>estimate</w:t>
      </w:r>
      <w:r>
        <w:rPr>
          <w:rFonts w:ascii="Times New Roman" w:hAnsi="Times New Roman" w:cs="Times New Roman"/>
          <w:sz w:val="24"/>
          <w:szCs w:val="24"/>
        </w:rPr>
        <w:t xml:space="preserve"> of expected energy savings and wider benefits</w:t>
      </w:r>
      <w:r w:rsidRPr="00000176">
        <w:rPr>
          <w:rFonts w:ascii="Times New Roman" w:hAnsi="Times New Roman" w:cs="Times New Roman"/>
          <w:sz w:val="24"/>
          <w:szCs w:val="24"/>
        </w:rPr>
        <w:t xml:space="preserve">. </w:t>
      </w:r>
    </w:p>
    <w:p w14:paraId="266DF109" w14:textId="1538183A" w:rsidR="0027020A" w:rsidRDefault="0027020A" w:rsidP="00CE6267">
      <w:pPr>
        <w:spacing w:after="0"/>
        <w:jc w:val="both"/>
        <w:rPr>
          <w:rFonts w:ascii="Times New Roman" w:hAnsi="Times New Roman" w:cs="Times New Roman"/>
          <w:sz w:val="24"/>
          <w:szCs w:val="24"/>
        </w:rPr>
      </w:pPr>
      <w:r w:rsidRPr="00000176">
        <w:rPr>
          <w:rFonts w:ascii="Times New Roman" w:hAnsi="Times New Roman" w:cs="Times New Roman"/>
          <w:sz w:val="24"/>
          <w:szCs w:val="24"/>
        </w:rPr>
        <w:t>The 201</w:t>
      </w:r>
      <w:r>
        <w:rPr>
          <w:rFonts w:ascii="Times New Roman" w:hAnsi="Times New Roman" w:cs="Times New Roman"/>
          <w:sz w:val="24"/>
          <w:szCs w:val="24"/>
        </w:rPr>
        <w:t>7</w:t>
      </w:r>
      <w:r w:rsidRPr="00000176">
        <w:rPr>
          <w:rFonts w:ascii="Times New Roman" w:hAnsi="Times New Roman" w:cs="Times New Roman"/>
          <w:sz w:val="24"/>
          <w:szCs w:val="24"/>
        </w:rPr>
        <w:t xml:space="preserve"> LTRS from </w:t>
      </w:r>
      <w:r w:rsidRPr="00C235A0">
        <w:rPr>
          <w:rFonts w:ascii="Times New Roman" w:hAnsi="Times New Roman" w:cs="Times New Roman"/>
          <w:sz w:val="24"/>
          <w:szCs w:val="24"/>
        </w:rPr>
        <w:t>Cyprus, Czech Republic, Finland, Lithuania, Romania</w:t>
      </w:r>
      <w:r>
        <w:rPr>
          <w:rFonts w:ascii="Times New Roman" w:hAnsi="Times New Roman" w:cs="Times New Roman"/>
          <w:sz w:val="24"/>
          <w:szCs w:val="24"/>
        </w:rPr>
        <w:t xml:space="preserve"> and</w:t>
      </w:r>
      <w:r w:rsidRPr="00C235A0">
        <w:rPr>
          <w:rFonts w:ascii="Times New Roman" w:hAnsi="Times New Roman" w:cs="Times New Roman"/>
          <w:sz w:val="24"/>
          <w:szCs w:val="24"/>
        </w:rPr>
        <w:t xml:space="preserve"> </w:t>
      </w:r>
      <w:proofErr w:type="gramStart"/>
      <w:r w:rsidRPr="00C235A0">
        <w:rPr>
          <w:rFonts w:ascii="Times New Roman" w:hAnsi="Times New Roman" w:cs="Times New Roman"/>
          <w:sz w:val="24"/>
          <w:szCs w:val="24"/>
        </w:rPr>
        <w:t xml:space="preserve">Sweden </w:t>
      </w:r>
      <w:r w:rsidRPr="00000176">
        <w:rPr>
          <w:rFonts w:ascii="Times New Roman" w:hAnsi="Times New Roman" w:cs="Times New Roman"/>
          <w:sz w:val="24"/>
          <w:szCs w:val="24"/>
        </w:rPr>
        <w:t xml:space="preserve"> a</w:t>
      </w:r>
      <w:r>
        <w:rPr>
          <w:rFonts w:ascii="Times New Roman" w:hAnsi="Times New Roman" w:cs="Times New Roman"/>
          <w:sz w:val="24"/>
          <w:szCs w:val="24"/>
        </w:rPr>
        <w:t>re</w:t>
      </w:r>
      <w:proofErr w:type="gramEnd"/>
      <w:r w:rsidRPr="00000176">
        <w:rPr>
          <w:rFonts w:ascii="Times New Roman" w:hAnsi="Times New Roman" w:cs="Times New Roman"/>
          <w:sz w:val="24"/>
          <w:szCs w:val="24"/>
        </w:rPr>
        <w:t xml:space="preserve"> good practice example</w:t>
      </w:r>
      <w:r>
        <w:rPr>
          <w:rFonts w:ascii="Times New Roman" w:hAnsi="Times New Roman" w:cs="Times New Roman"/>
          <w:sz w:val="24"/>
          <w:szCs w:val="24"/>
        </w:rPr>
        <w:t>s</w:t>
      </w:r>
      <w:r w:rsidRPr="00000176">
        <w:rPr>
          <w:rFonts w:ascii="Times New Roman" w:hAnsi="Times New Roman" w:cs="Times New Roman"/>
          <w:sz w:val="24"/>
          <w:szCs w:val="24"/>
        </w:rPr>
        <w:t xml:space="preserve"> of strateg</w:t>
      </w:r>
      <w:r>
        <w:rPr>
          <w:rFonts w:ascii="Times New Roman" w:hAnsi="Times New Roman" w:cs="Times New Roman"/>
          <w:sz w:val="24"/>
          <w:szCs w:val="24"/>
        </w:rPr>
        <w:t>ies</w:t>
      </w:r>
      <w:r w:rsidRPr="00000176">
        <w:rPr>
          <w:rFonts w:ascii="Times New Roman" w:hAnsi="Times New Roman" w:cs="Times New Roman"/>
          <w:sz w:val="24"/>
          <w:szCs w:val="24"/>
        </w:rPr>
        <w:t xml:space="preserve"> that ha</w:t>
      </w:r>
      <w:r>
        <w:rPr>
          <w:rFonts w:ascii="Times New Roman" w:hAnsi="Times New Roman" w:cs="Times New Roman"/>
          <w:sz w:val="24"/>
          <w:szCs w:val="24"/>
        </w:rPr>
        <w:t>ve</w:t>
      </w:r>
      <w:r w:rsidRPr="00000176">
        <w:rPr>
          <w:rFonts w:ascii="Times New Roman" w:hAnsi="Times New Roman" w:cs="Times New Roman"/>
          <w:sz w:val="24"/>
          <w:szCs w:val="24"/>
        </w:rPr>
        <w:t xml:space="preserve"> sought to quantify the wider benefits of building renovation.</w:t>
      </w:r>
      <w:r>
        <w:rPr>
          <w:rStyle w:val="FootnoteReference"/>
          <w:rFonts w:ascii="Times New Roman" w:hAnsi="Times New Roman" w:cs="Times New Roman"/>
          <w:sz w:val="24"/>
          <w:szCs w:val="24"/>
        </w:rPr>
        <w:footnoteReference w:id="29"/>
      </w:r>
    </w:p>
    <w:p w14:paraId="0FC01F12" w14:textId="77777777" w:rsidR="00B21695" w:rsidRPr="00000176" w:rsidRDefault="00B21695" w:rsidP="00CE6267">
      <w:pPr>
        <w:spacing w:after="0"/>
        <w:jc w:val="both"/>
        <w:rPr>
          <w:rFonts w:ascii="Times New Roman" w:hAnsi="Times New Roman" w:cs="Times New Roman"/>
          <w:sz w:val="24"/>
          <w:szCs w:val="24"/>
          <w:lang w:eastAsia="fr-BE"/>
        </w:rPr>
      </w:pPr>
    </w:p>
    <w:p w14:paraId="229C107C" w14:textId="77777777" w:rsidR="00AD3C06" w:rsidRPr="00EF5548" w:rsidRDefault="00AD3C06" w:rsidP="00CE6267">
      <w:pPr>
        <w:pStyle w:val="ListParagraph"/>
        <w:spacing w:after="0"/>
        <w:ind w:left="0"/>
        <w:jc w:val="both"/>
        <w:rPr>
          <w:rFonts w:ascii="Times New Roman" w:hAnsi="Times New Roman" w:cs="Times New Roman"/>
          <w:i/>
          <w:sz w:val="24"/>
          <w:szCs w:val="24"/>
        </w:rPr>
      </w:pPr>
      <w:r w:rsidRPr="00EF5548">
        <w:rPr>
          <w:rFonts w:ascii="Times New Roman" w:hAnsi="Times New Roman" w:cs="Times New Roman"/>
          <w:i/>
          <w:sz w:val="24"/>
          <w:szCs w:val="24"/>
        </w:rPr>
        <w:t xml:space="preserve">See </w:t>
      </w:r>
      <w:proofErr w:type="gramStart"/>
      <w:r w:rsidRPr="00EF5548">
        <w:rPr>
          <w:rFonts w:ascii="Times New Roman" w:hAnsi="Times New Roman" w:cs="Times New Roman"/>
          <w:i/>
          <w:sz w:val="24"/>
          <w:szCs w:val="24"/>
        </w:rPr>
        <w:t>also :</w:t>
      </w:r>
      <w:proofErr w:type="gramEnd"/>
      <w:r w:rsidRPr="00EF5548">
        <w:rPr>
          <w:rFonts w:ascii="Times New Roman" w:hAnsi="Times New Roman" w:cs="Times New Roman"/>
          <w:i/>
          <w:sz w:val="24"/>
          <w:szCs w:val="24"/>
        </w:rPr>
        <w:t xml:space="preserve"> WHO guidelines on healthy housing [to be completed]</w:t>
      </w:r>
    </w:p>
    <w:p w14:paraId="58312EED" w14:textId="77777777" w:rsidR="00AD3C06" w:rsidRDefault="00AD3C06" w:rsidP="00CE6267">
      <w:pPr>
        <w:pStyle w:val="ListParagraph"/>
        <w:spacing w:after="0"/>
        <w:ind w:left="0"/>
        <w:jc w:val="both"/>
        <w:rPr>
          <w:rFonts w:ascii="Times New Roman" w:hAnsi="Times New Roman" w:cs="Times New Roman"/>
          <w:i/>
          <w:sz w:val="24"/>
          <w:szCs w:val="24"/>
        </w:rPr>
      </w:pPr>
      <w:r w:rsidRPr="00EF5548">
        <w:rPr>
          <w:rFonts w:ascii="Times New Roman" w:hAnsi="Times New Roman" w:cs="Times New Roman"/>
          <w:i/>
          <w:sz w:val="24"/>
          <w:szCs w:val="24"/>
        </w:rPr>
        <w:t xml:space="preserve">See </w:t>
      </w:r>
      <w:proofErr w:type="gramStart"/>
      <w:r w:rsidRPr="00EF5548">
        <w:rPr>
          <w:rFonts w:ascii="Times New Roman" w:hAnsi="Times New Roman" w:cs="Times New Roman"/>
          <w:i/>
          <w:sz w:val="24"/>
          <w:szCs w:val="24"/>
        </w:rPr>
        <w:t>also :</w:t>
      </w:r>
      <w:proofErr w:type="gramEnd"/>
      <w:r w:rsidRPr="00EF5548">
        <w:rPr>
          <w:rFonts w:ascii="Times New Roman" w:hAnsi="Times New Roman" w:cs="Times New Roman"/>
          <w:i/>
          <w:sz w:val="24"/>
          <w:szCs w:val="24"/>
        </w:rPr>
        <w:t xml:space="preserve"> JRC Report on healthy buildings [to be completed]</w:t>
      </w:r>
    </w:p>
    <w:p w14:paraId="5874B84D" w14:textId="77777777" w:rsidR="00B21695" w:rsidRPr="00000176" w:rsidRDefault="00B21695" w:rsidP="00CE6267">
      <w:pPr>
        <w:pStyle w:val="ListParagraph"/>
        <w:spacing w:after="0"/>
        <w:ind w:left="0"/>
        <w:jc w:val="both"/>
        <w:rPr>
          <w:rFonts w:ascii="Times New Roman" w:hAnsi="Times New Roman" w:cs="Times New Roman"/>
          <w:i/>
          <w:sz w:val="24"/>
          <w:szCs w:val="24"/>
        </w:rPr>
      </w:pPr>
    </w:p>
    <w:p w14:paraId="59F7EDB0" w14:textId="77777777" w:rsidR="00B637CB" w:rsidRDefault="00A46665" w:rsidP="00CE6267">
      <w:pPr>
        <w:pStyle w:val="Heading2"/>
        <w:spacing w:before="0" w:after="0"/>
      </w:pPr>
      <w:bookmarkStart w:id="96" w:name="_Toc524340612"/>
      <w:r w:rsidRPr="00BD2FAA">
        <w:t>Mechanisms to support the mobilisation of investments (Article 2</w:t>
      </w:r>
      <w:proofErr w:type="gramStart"/>
      <w:r w:rsidRPr="00BD2FAA">
        <w:t>a(</w:t>
      </w:r>
      <w:proofErr w:type="gramEnd"/>
      <w:r w:rsidRPr="00BD2FAA">
        <w:t>3))</w:t>
      </w:r>
      <w:bookmarkEnd w:id="96"/>
    </w:p>
    <w:p w14:paraId="5D5247F9" w14:textId="389FF359" w:rsidR="005C6931" w:rsidRDefault="005C6931" w:rsidP="005C6931">
      <w:pPr>
        <w:spacing w:after="0"/>
        <w:jc w:val="both"/>
        <w:rPr>
          <w:rFonts w:ascii="Times New Roman" w:hAnsi="Times New Roman" w:cs="Times New Roman"/>
          <w:sz w:val="24"/>
          <w:szCs w:val="24"/>
        </w:rPr>
      </w:pPr>
      <w:r w:rsidRPr="005C6931">
        <w:rPr>
          <w:rFonts w:ascii="Times New Roman" w:hAnsi="Times New Roman" w:cs="Times New Roman"/>
          <w:sz w:val="24"/>
          <w:szCs w:val="24"/>
        </w:rPr>
        <w:t>The following guidance relates to the different types of financial mechanism which Member States should facilitate access to.</w:t>
      </w:r>
    </w:p>
    <w:p w14:paraId="4E35B545" w14:textId="77777777" w:rsidR="003449F9" w:rsidRPr="005C6931" w:rsidRDefault="003449F9" w:rsidP="005C6931">
      <w:pPr>
        <w:spacing w:after="0"/>
        <w:jc w:val="both"/>
        <w:rPr>
          <w:rFonts w:ascii="Times New Roman" w:hAnsi="Times New Roman" w:cs="Times New Roman"/>
          <w:sz w:val="24"/>
          <w:szCs w:val="24"/>
        </w:rPr>
      </w:pPr>
    </w:p>
    <w:p w14:paraId="48BD949D" w14:textId="143935F0" w:rsidR="009A0F1D" w:rsidRPr="005C6931" w:rsidRDefault="009A0F1D" w:rsidP="003449F9">
      <w:pPr>
        <w:pStyle w:val="Heading3"/>
        <w:spacing w:before="0" w:after="0"/>
      </w:pPr>
      <w:bookmarkStart w:id="97" w:name="_Toc524340613"/>
      <w:r w:rsidRPr="005C6931">
        <w:lastRenderedPageBreak/>
        <w:t>aggregation of projects</w:t>
      </w:r>
      <w:bookmarkEnd w:id="97"/>
      <w:r w:rsidRPr="005C6931">
        <w:t xml:space="preserve"> </w:t>
      </w:r>
    </w:p>
    <w:p w14:paraId="298231FA" w14:textId="77777777" w:rsidR="00B637CB" w:rsidRDefault="009A0F1D" w:rsidP="00231B0D">
      <w:pPr>
        <w:pStyle w:val="ListParagraph"/>
        <w:numPr>
          <w:ilvl w:val="0"/>
          <w:numId w:val="9"/>
        </w:numPr>
        <w:spacing w:after="0"/>
        <w:jc w:val="both"/>
        <w:rPr>
          <w:rFonts w:ascii="Times New Roman" w:hAnsi="Times New Roman" w:cs="Times New Roman"/>
          <w:color w:val="000000"/>
          <w:sz w:val="24"/>
          <w:szCs w:val="24"/>
        </w:rPr>
      </w:pPr>
      <w:proofErr w:type="spellStart"/>
      <w:r w:rsidRPr="00F95E01">
        <w:rPr>
          <w:rFonts w:ascii="Times New Roman" w:hAnsi="Times New Roman" w:cs="Times New Roman"/>
          <w:color w:val="000000"/>
          <w:sz w:val="24"/>
          <w:szCs w:val="24"/>
        </w:rPr>
        <w:t>PadovaFIT</w:t>
      </w:r>
      <w:proofErr w:type="spellEnd"/>
      <w:r w:rsidRPr="00F95E01">
        <w:rPr>
          <w:rFonts w:ascii="Times New Roman" w:hAnsi="Times New Roman" w:cs="Times New Roman"/>
          <w:color w:val="000000"/>
          <w:sz w:val="24"/>
          <w:szCs w:val="24"/>
        </w:rPr>
        <w:t>!</w:t>
      </w:r>
      <w:r w:rsidRPr="002B1178">
        <w:rPr>
          <w:rStyle w:val="FootnoteReference"/>
          <w:rFonts w:ascii="Times New Roman" w:hAnsi="Times New Roman" w:cs="Times New Roman"/>
          <w:color w:val="000000"/>
          <w:sz w:val="24"/>
          <w:szCs w:val="24"/>
        </w:rPr>
        <w:footnoteReference w:id="30"/>
      </w:r>
      <w:r w:rsidR="00491362" w:rsidRPr="002B1178">
        <w:rPr>
          <w:rStyle w:val="FootnoteReference"/>
        </w:rPr>
        <w:t xml:space="preserve"> </w:t>
      </w:r>
      <w:r w:rsidRPr="00F95E01">
        <w:rPr>
          <w:rFonts w:ascii="Times New Roman" w:hAnsi="Times New Roman" w:cs="Times New Roman"/>
          <w:color w:val="000000"/>
          <w:sz w:val="24"/>
          <w:szCs w:val="24"/>
        </w:rPr>
        <w:t xml:space="preserve">aims to retrofit multifamily buildings through energy performance contracting. The project aggregates all the subscribing buildings to generate a critical mass, achieve favourable economic conditions, and guarantee on the quality of the works to be done by the bidders. Since 2014, the consortium has been engaging condominiums throughout the City of Padova (Italy) </w:t>
      </w:r>
      <w:proofErr w:type="gramStart"/>
      <w:r w:rsidRPr="00F95E01">
        <w:rPr>
          <w:rFonts w:ascii="Times New Roman" w:hAnsi="Times New Roman" w:cs="Times New Roman"/>
          <w:color w:val="000000"/>
          <w:sz w:val="24"/>
          <w:szCs w:val="24"/>
        </w:rPr>
        <w:t>in order to</w:t>
      </w:r>
      <w:proofErr w:type="gramEnd"/>
      <w:r w:rsidRPr="00F95E01">
        <w:rPr>
          <w:rFonts w:ascii="Times New Roman" w:hAnsi="Times New Roman" w:cs="Times New Roman"/>
          <w:color w:val="000000"/>
          <w:sz w:val="24"/>
          <w:szCs w:val="24"/>
        </w:rPr>
        <w:t xml:space="preserve"> build significant demand for energy retrofits. In the meantime, the municipality has procured a private ESCO, which will enter into a contract with each condominium, and then finance the energy retrofit, which will be paid through the energy savings.</w:t>
      </w:r>
    </w:p>
    <w:p w14:paraId="2BFB28EC" w14:textId="02C41DAA" w:rsidR="009A0F1D" w:rsidRPr="00F95E01" w:rsidRDefault="009A0F1D" w:rsidP="00B637CB">
      <w:pPr>
        <w:pStyle w:val="ListParagraph"/>
        <w:spacing w:after="0"/>
        <w:ind w:left="108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 xml:space="preserve"> </w:t>
      </w:r>
    </w:p>
    <w:p w14:paraId="5D5DB010" w14:textId="49A37842" w:rsidR="009A0F1D" w:rsidRPr="005C6931" w:rsidRDefault="009A0F1D" w:rsidP="005C6931">
      <w:pPr>
        <w:pStyle w:val="Heading3"/>
        <w:spacing w:before="0" w:after="0"/>
      </w:pPr>
      <w:bookmarkStart w:id="98" w:name="_Toc524340614"/>
      <w:r w:rsidRPr="005C6931">
        <w:t>reduction of the perceived risk of energy efficiency operations</w:t>
      </w:r>
      <w:bookmarkEnd w:id="98"/>
    </w:p>
    <w:p w14:paraId="6E3836D8" w14:textId="77777777" w:rsidR="009A0F1D" w:rsidRPr="00F95E01" w:rsidRDefault="009A0F1D" w:rsidP="00231B0D">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 xml:space="preserve">Standardisation of energy efficiency to increases investors' confidence (support the deployment of protocols to reduce performance risks – e.g. the Investor Confidence Project (ICP) Europe; </w:t>
      </w:r>
    </w:p>
    <w:p w14:paraId="7D9CDEEC" w14:textId="6EB5715A" w:rsidR="009A0F1D" w:rsidRPr="00F95E01" w:rsidRDefault="009A0F1D" w:rsidP="00231B0D">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The Energy Efficient Mortgage Initiative that aims to create a standardised “energy efficient mortgage” product at European level (the idea is to give preferential mortgages to building owners willing to improve the energy efficiency of their buildings by taking into consideration the positive impact of energy efficiency on the value of buildings and on payment defaults; the pilot phase started in June 2018, with more than 35 banks committed to participate in the pilot scheme)</w:t>
      </w:r>
      <w:r w:rsidR="003449F9">
        <w:rPr>
          <w:rFonts w:ascii="Times New Roman" w:hAnsi="Times New Roman" w:cs="Times New Roman"/>
          <w:color w:val="000000"/>
          <w:sz w:val="24"/>
          <w:szCs w:val="24"/>
        </w:rPr>
        <w:t>;</w:t>
      </w:r>
      <w:r w:rsidRPr="00F95E01">
        <w:rPr>
          <w:rFonts w:ascii="Times New Roman" w:hAnsi="Times New Roman" w:cs="Times New Roman"/>
          <w:color w:val="000000"/>
          <w:sz w:val="24"/>
          <w:szCs w:val="24"/>
        </w:rPr>
        <w:t xml:space="preserve"> </w:t>
      </w:r>
    </w:p>
    <w:p w14:paraId="0620F781" w14:textId="74346724" w:rsidR="009A0F1D" w:rsidRDefault="009A0F1D" w:rsidP="00231B0D">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Making energy efficiency attractive for institutional investors and supporting the refinancing of energy efficiency related assets (e.g. the Latvian Baltic Energy Efficiency Fund (LABEEF) – providing long term financing to ESCOs by forfaiting EPC contracts</w:t>
      </w:r>
      <w:r w:rsidRPr="002B1178">
        <w:rPr>
          <w:rStyle w:val="FootnoteReference"/>
          <w:rFonts w:ascii="Times New Roman" w:hAnsi="Times New Roman" w:cs="Times New Roman"/>
          <w:color w:val="000000"/>
          <w:sz w:val="24"/>
          <w:szCs w:val="24"/>
        </w:rPr>
        <w:footnoteReference w:id="31"/>
      </w:r>
      <w:r w:rsidRPr="002B1178">
        <w:rPr>
          <w:rStyle w:val="FootnoteReference"/>
        </w:rPr>
        <w:t xml:space="preserve">; </w:t>
      </w:r>
      <w:r w:rsidRPr="00F95E01">
        <w:rPr>
          <w:rFonts w:ascii="Times New Roman" w:hAnsi="Times New Roman" w:cs="Times New Roman"/>
          <w:color w:val="000000"/>
          <w:sz w:val="24"/>
          <w:szCs w:val="24"/>
        </w:rPr>
        <w:t>green bonds for energy efficiency)</w:t>
      </w:r>
      <w:r w:rsidR="003449F9">
        <w:rPr>
          <w:rFonts w:ascii="Times New Roman" w:hAnsi="Times New Roman" w:cs="Times New Roman"/>
          <w:color w:val="000000"/>
          <w:sz w:val="24"/>
          <w:szCs w:val="24"/>
        </w:rPr>
        <w:t>.</w:t>
      </w:r>
    </w:p>
    <w:p w14:paraId="39E7299E" w14:textId="77777777" w:rsidR="003449F9" w:rsidRDefault="003449F9" w:rsidP="003449F9">
      <w:pPr>
        <w:pStyle w:val="ListParagraph"/>
        <w:spacing w:after="0"/>
        <w:ind w:left="1080"/>
        <w:jc w:val="both"/>
        <w:rPr>
          <w:rFonts w:ascii="Times New Roman" w:hAnsi="Times New Roman" w:cs="Times New Roman"/>
          <w:color w:val="000000"/>
          <w:sz w:val="24"/>
          <w:szCs w:val="24"/>
        </w:rPr>
      </w:pPr>
    </w:p>
    <w:p w14:paraId="39C3B567" w14:textId="17026B65" w:rsidR="009A0F1D" w:rsidRPr="005C6931" w:rsidRDefault="009A0F1D" w:rsidP="003449F9">
      <w:pPr>
        <w:pStyle w:val="Heading3"/>
        <w:spacing w:before="0" w:after="0"/>
      </w:pPr>
      <w:bookmarkStart w:id="99" w:name="_Toc524340615"/>
      <w:r w:rsidRPr="005C6931">
        <w:t>public funding to leverage private-sector investment or address market failures</w:t>
      </w:r>
      <w:bookmarkEnd w:id="99"/>
    </w:p>
    <w:p w14:paraId="24130A55" w14:textId="24712CEB" w:rsidR="009A0F1D" w:rsidRPr="00F95E01" w:rsidRDefault="009A0F1D" w:rsidP="003449F9">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Loan schemes co-financed by public funds (e.g. Multi-Apartment Building modernization funds</w:t>
      </w:r>
      <w:r w:rsidRPr="00F95E01" w:rsidDel="00304ACE">
        <w:rPr>
          <w:rFonts w:ascii="Times New Roman" w:hAnsi="Times New Roman" w:cs="Times New Roman"/>
          <w:color w:val="000000"/>
          <w:sz w:val="24"/>
          <w:szCs w:val="24"/>
        </w:rPr>
        <w:t xml:space="preserve"> </w:t>
      </w:r>
      <w:r w:rsidRPr="00F95E01">
        <w:rPr>
          <w:rFonts w:ascii="Times New Roman" w:hAnsi="Times New Roman" w:cs="Times New Roman"/>
          <w:color w:val="000000"/>
          <w:sz w:val="24"/>
          <w:szCs w:val="24"/>
        </w:rPr>
        <w:t>(Lithuania)</w:t>
      </w:r>
      <w:r w:rsidR="00EA5925">
        <w:rPr>
          <w:rFonts w:ascii="Times New Roman" w:hAnsi="Times New Roman" w:cs="Times New Roman"/>
          <w:color w:val="000000"/>
          <w:sz w:val="24"/>
          <w:szCs w:val="24"/>
        </w:rPr>
        <w:t>;</w:t>
      </w:r>
      <w:r w:rsidRPr="00F95E01">
        <w:rPr>
          <w:rStyle w:val="FootnoteReference"/>
          <w:rFonts w:ascii="Times New Roman" w:hAnsi="Times New Roman" w:cs="Times New Roman"/>
          <w:color w:val="000000"/>
          <w:sz w:val="24"/>
          <w:szCs w:val="24"/>
        </w:rPr>
        <w:footnoteReference w:id="32"/>
      </w:r>
      <w:r w:rsidRPr="00F95E01">
        <w:rPr>
          <w:rFonts w:ascii="Times New Roman" w:hAnsi="Times New Roman" w:cs="Times New Roman"/>
          <w:color w:val="000000"/>
          <w:sz w:val="24"/>
          <w:szCs w:val="24"/>
        </w:rPr>
        <w:t xml:space="preserve"> </w:t>
      </w:r>
      <w:r w:rsidR="00EA5925">
        <w:rPr>
          <w:rFonts w:ascii="Times New Roman" w:hAnsi="Times New Roman" w:cs="Times New Roman"/>
          <w:color w:val="000000"/>
          <w:sz w:val="24"/>
          <w:szCs w:val="24"/>
        </w:rPr>
        <w:t>c</w:t>
      </w:r>
      <w:r w:rsidRPr="00F95E01">
        <w:rPr>
          <w:rFonts w:ascii="Times New Roman" w:hAnsi="Times New Roman" w:cs="Times New Roman"/>
          <w:color w:val="000000"/>
          <w:sz w:val="24"/>
          <w:szCs w:val="24"/>
        </w:rPr>
        <w:t>ombination of loans, technical assistance and grants for renovation of multi-apartment buildings (Estonia)</w:t>
      </w:r>
      <w:r w:rsidR="00EA5925">
        <w:rPr>
          <w:rFonts w:ascii="Times New Roman" w:hAnsi="Times New Roman" w:cs="Times New Roman"/>
          <w:color w:val="000000"/>
          <w:sz w:val="24"/>
          <w:szCs w:val="24"/>
        </w:rPr>
        <w:t>;</w:t>
      </w:r>
      <w:r w:rsidRPr="00F95E01">
        <w:rPr>
          <w:rStyle w:val="FootnoteReference"/>
          <w:rFonts w:ascii="Times New Roman" w:hAnsi="Times New Roman" w:cs="Times New Roman"/>
          <w:color w:val="000000"/>
          <w:sz w:val="24"/>
          <w:szCs w:val="24"/>
        </w:rPr>
        <w:footnoteReference w:id="33"/>
      </w:r>
      <w:r w:rsidRPr="00F95E01">
        <w:rPr>
          <w:rFonts w:ascii="Times New Roman" w:hAnsi="Times New Roman" w:cs="Times New Roman"/>
          <w:color w:val="000000"/>
          <w:sz w:val="24"/>
          <w:szCs w:val="24"/>
        </w:rPr>
        <w:t xml:space="preserve"> </w:t>
      </w:r>
      <w:proofErr w:type="spellStart"/>
      <w:r w:rsidRPr="00F95E01">
        <w:rPr>
          <w:rFonts w:ascii="Times New Roman" w:hAnsi="Times New Roman" w:cs="Times New Roman"/>
          <w:color w:val="000000"/>
          <w:sz w:val="24"/>
          <w:szCs w:val="24"/>
        </w:rPr>
        <w:t>KfW</w:t>
      </w:r>
      <w:proofErr w:type="spellEnd"/>
      <w:r w:rsidRPr="00F95E01">
        <w:rPr>
          <w:rFonts w:ascii="Times New Roman" w:hAnsi="Times New Roman" w:cs="Times New Roman"/>
          <w:color w:val="000000"/>
          <w:sz w:val="24"/>
          <w:szCs w:val="24"/>
        </w:rPr>
        <w:t xml:space="preserve"> grants and loans for energy renovation</w:t>
      </w:r>
      <w:r w:rsidRPr="00F95E01">
        <w:rPr>
          <w:rStyle w:val="FootnoteReference"/>
          <w:rFonts w:ascii="Times New Roman" w:hAnsi="Times New Roman" w:cs="Times New Roman"/>
          <w:color w:val="000000"/>
          <w:sz w:val="24"/>
          <w:szCs w:val="24"/>
        </w:rPr>
        <w:footnoteReference w:id="34"/>
      </w:r>
      <w:r w:rsidRPr="00F95E01">
        <w:rPr>
          <w:rFonts w:ascii="Times New Roman" w:hAnsi="Times New Roman" w:cs="Times New Roman"/>
          <w:color w:val="000000"/>
          <w:sz w:val="24"/>
          <w:szCs w:val="24"/>
        </w:rPr>
        <w:t xml:space="preserve"> (Germany); </w:t>
      </w:r>
      <w:proofErr w:type="spellStart"/>
      <w:r w:rsidRPr="00F95E01">
        <w:rPr>
          <w:rFonts w:ascii="Times New Roman" w:hAnsi="Times New Roman" w:cs="Times New Roman"/>
          <w:color w:val="000000"/>
          <w:sz w:val="24"/>
          <w:szCs w:val="24"/>
        </w:rPr>
        <w:t>SlovSEFF</w:t>
      </w:r>
      <w:proofErr w:type="spellEnd"/>
      <w:r w:rsidRPr="00F95E01">
        <w:rPr>
          <w:rFonts w:ascii="Times New Roman" w:hAnsi="Times New Roman" w:cs="Times New Roman"/>
          <w:color w:val="000000"/>
          <w:sz w:val="24"/>
          <w:szCs w:val="24"/>
        </w:rPr>
        <w:t xml:space="preserve"> (Slovakia)</w:t>
      </w:r>
      <w:r w:rsidR="003449F9">
        <w:rPr>
          <w:rFonts w:ascii="Times New Roman" w:hAnsi="Times New Roman" w:cs="Times New Roman"/>
          <w:color w:val="000000"/>
          <w:sz w:val="24"/>
          <w:szCs w:val="24"/>
        </w:rPr>
        <w:t>;</w:t>
      </w:r>
      <w:r w:rsidRPr="00F95E01">
        <w:rPr>
          <w:rStyle w:val="FootnoteReference"/>
          <w:rFonts w:ascii="Times New Roman" w:hAnsi="Times New Roman" w:cs="Times New Roman"/>
          <w:color w:val="000000"/>
          <w:sz w:val="24"/>
          <w:szCs w:val="24"/>
        </w:rPr>
        <w:footnoteReference w:id="35"/>
      </w:r>
    </w:p>
    <w:p w14:paraId="09803786" w14:textId="196644F3" w:rsidR="009A0F1D" w:rsidRPr="00F95E01" w:rsidRDefault="009A0F1D" w:rsidP="003449F9">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Risk-sharing instruments including loans, guarantees, and technical assistance (e.g. Private Finance for Energy Efficiency (PF4EE)</w:t>
      </w:r>
      <w:r w:rsidR="00EA5925">
        <w:rPr>
          <w:rFonts w:ascii="Times New Roman" w:hAnsi="Times New Roman" w:cs="Times New Roman"/>
          <w:color w:val="000000"/>
          <w:sz w:val="24"/>
          <w:szCs w:val="24"/>
        </w:rPr>
        <w:t>;</w:t>
      </w:r>
      <w:r w:rsidRPr="00F95E01">
        <w:rPr>
          <w:rStyle w:val="FootnoteReference"/>
          <w:rFonts w:ascii="Times New Roman" w:hAnsi="Times New Roman" w:cs="Times New Roman"/>
          <w:color w:val="000000"/>
          <w:sz w:val="24"/>
          <w:szCs w:val="24"/>
        </w:rPr>
        <w:footnoteReference w:id="36"/>
      </w:r>
      <w:r w:rsidRPr="00F95E01">
        <w:rPr>
          <w:rFonts w:ascii="Times New Roman" w:hAnsi="Times New Roman" w:cs="Times New Roman"/>
          <w:color w:val="000000"/>
          <w:sz w:val="24"/>
          <w:szCs w:val="24"/>
        </w:rPr>
        <w:t xml:space="preserve"> the Smart Finance for Smart Buildings guarantee facility (under development);</w:t>
      </w:r>
    </w:p>
    <w:p w14:paraId="16DEBE96" w14:textId="77777777" w:rsidR="009A0F1D" w:rsidRDefault="009A0F1D" w:rsidP="003449F9">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On-line EU mapping tool, to understand how public funds can be used to support energy efficiency in Europe (under development).</w:t>
      </w:r>
    </w:p>
    <w:p w14:paraId="39CC9B91" w14:textId="77777777" w:rsidR="00B637CB" w:rsidRPr="00F95E01" w:rsidRDefault="00B637CB" w:rsidP="00B637CB">
      <w:pPr>
        <w:pStyle w:val="ListParagraph"/>
        <w:spacing w:after="0"/>
        <w:ind w:left="1080"/>
        <w:jc w:val="both"/>
        <w:rPr>
          <w:rFonts w:ascii="Times New Roman" w:hAnsi="Times New Roman" w:cs="Times New Roman"/>
          <w:color w:val="000000"/>
          <w:sz w:val="24"/>
          <w:szCs w:val="24"/>
        </w:rPr>
      </w:pPr>
    </w:p>
    <w:p w14:paraId="7A424F17" w14:textId="07B236AE" w:rsidR="009A0F1D" w:rsidRPr="003449F9" w:rsidRDefault="003449F9" w:rsidP="003449F9">
      <w:pPr>
        <w:pStyle w:val="Heading3"/>
        <w:spacing w:before="0" w:after="0"/>
      </w:pPr>
      <w:r>
        <w:lastRenderedPageBreak/>
        <w:t xml:space="preserve"> </w:t>
      </w:r>
      <w:bookmarkStart w:id="100" w:name="_Toc524340616"/>
      <w:r w:rsidR="009A0F1D" w:rsidRPr="003449F9">
        <w:t>guiding investments into an energy efficient public building stock;</w:t>
      </w:r>
      <w:bookmarkEnd w:id="100"/>
      <w:r w:rsidR="009A0F1D" w:rsidRPr="003449F9">
        <w:t xml:space="preserve"> </w:t>
      </w:r>
    </w:p>
    <w:p w14:paraId="5CE113F3" w14:textId="77777777" w:rsidR="009A0F1D" w:rsidRPr="00517191" w:rsidRDefault="009A0F1D" w:rsidP="00A84CB8">
      <w:pPr>
        <w:pStyle w:val="ListParagraph"/>
        <w:numPr>
          <w:ilvl w:val="0"/>
          <w:numId w:val="9"/>
        </w:numPr>
        <w:spacing w:after="0"/>
        <w:jc w:val="both"/>
        <w:rPr>
          <w:rFonts w:ascii="Times New Roman" w:hAnsi="Times New Roman" w:cs="Times New Roman"/>
          <w:color w:val="000000"/>
          <w:spacing w:val="-4"/>
          <w:sz w:val="24"/>
          <w:szCs w:val="24"/>
        </w:rPr>
      </w:pPr>
      <w:r w:rsidRPr="00517191">
        <w:rPr>
          <w:rFonts w:ascii="Times New Roman" w:hAnsi="Times New Roman" w:cs="Times New Roman"/>
          <w:spacing w:val="-4"/>
          <w:sz w:val="24"/>
          <w:szCs w:val="24"/>
        </w:rPr>
        <w:t>Assistance</w:t>
      </w:r>
      <w:r w:rsidRPr="00517191">
        <w:rPr>
          <w:rFonts w:ascii="Times New Roman" w:hAnsi="Times New Roman" w:cs="Times New Roman"/>
          <w:color w:val="000000"/>
          <w:spacing w:val="-4"/>
          <w:sz w:val="24"/>
          <w:szCs w:val="24"/>
        </w:rPr>
        <w:t xml:space="preserve"> to facilitate the use of Energy Performance Contracts (e.g. EPC market facilitators; framework contract to simplify EPC procurement (UK), development of practical guides on EPCs, projects such as TRUST-EPC-South, </w:t>
      </w:r>
      <w:proofErr w:type="spellStart"/>
      <w:r w:rsidRPr="00517191">
        <w:rPr>
          <w:rFonts w:ascii="Times New Roman" w:hAnsi="Times New Roman" w:cs="Times New Roman"/>
          <w:color w:val="000000"/>
          <w:spacing w:val="-4"/>
          <w:sz w:val="24"/>
          <w:szCs w:val="24"/>
        </w:rPr>
        <w:t>GuarantEE</w:t>
      </w:r>
      <w:proofErr w:type="spellEnd"/>
      <w:r w:rsidRPr="00517191">
        <w:rPr>
          <w:rFonts w:ascii="Times New Roman" w:hAnsi="Times New Roman" w:cs="Times New Roman"/>
          <w:color w:val="000000"/>
          <w:spacing w:val="-4"/>
          <w:sz w:val="24"/>
          <w:szCs w:val="24"/>
        </w:rPr>
        <w:t xml:space="preserve"> (UK).</w:t>
      </w:r>
    </w:p>
    <w:p w14:paraId="41C72F03" w14:textId="1209A4DA" w:rsidR="009A0F1D" w:rsidRPr="00B637CB" w:rsidRDefault="009A0F1D" w:rsidP="00A84CB8">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sz w:val="24"/>
          <w:szCs w:val="24"/>
        </w:rPr>
        <w:t>Initiatives to use Energy Performance Contracts and Energy Service Companies (ESCOs) for the renovation of public buildings (e.g. ESCOLimburg2020 (BE)</w:t>
      </w:r>
      <w:r w:rsidR="006A4375">
        <w:rPr>
          <w:rFonts w:ascii="Times New Roman" w:hAnsi="Times New Roman" w:cs="Times New Roman"/>
          <w:sz w:val="24"/>
          <w:szCs w:val="24"/>
        </w:rPr>
        <w:t>,</w:t>
      </w:r>
      <w:r w:rsidRPr="00F95E01">
        <w:rPr>
          <w:rStyle w:val="FootnoteReference"/>
          <w:rFonts w:ascii="Times New Roman" w:hAnsi="Times New Roman" w:cs="Times New Roman"/>
          <w:sz w:val="24"/>
          <w:szCs w:val="24"/>
        </w:rPr>
        <w:footnoteReference w:id="37"/>
      </w:r>
      <w:r w:rsidRPr="00F95E01">
        <w:rPr>
          <w:rFonts w:ascii="Times New Roman" w:hAnsi="Times New Roman" w:cs="Times New Roman"/>
          <w:sz w:val="24"/>
          <w:szCs w:val="24"/>
        </w:rPr>
        <w:t xml:space="preserve"> </w:t>
      </w:r>
      <w:proofErr w:type="gramStart"/>
      <w:r w:rsidRPr="00F95E01">
        <w:rPr>
          <w:rFonts w:ascii="Times New Roman" w:hAnsi="Times New Roman" w:cs="Times New Roman"/>
          <w:sz w:val="24"/>
          <w:szCs w:val="24"/>
        </w:rPr>
        <w:t>RE:FIT</w:t>
      </w:r>
      <w:proofErr w:type="gramEnd"/>
      <w:r w:rsidRPr="00F95E01">
        <w:rPr>
          <w:rFonts w:ascii="Times New Roman" w:hAnsi="Times New Roman" w:cs="Times New Roman"/>
          <w:sz w:val="24"/>
          <w:szCs w:val="24"/>
        </w:rPr>
        <w:t xml:space="preserve"> (UK)</w:t>
      </w:r>
      <w:r w:rsidR="006A4375">
        <w:rPr>
          <w:rFonts w:ascii="Times New Roman" w:hAnsi="Times New Roman" w:cs="Times New Roman"/>
          <w:sz w:val="24"/>
          <w:szCs w:val="24"/>
        </w:rPr>
        <w:t>,</w:t>
      </w:r>
      <w:r w:rsidRPr="00F95E01">
        <w:rPr>
          <w:rStyle w:val="FootnoteReference"/>
          <w:rFonts w:ascii="Times New Roman" w:hAnsi="Times New Roman" w:cs="Times New Roman"/>
          <w:sz w:val="24"/>
          <w:szCs w:val="24"/>
        </w:rPr>
        <w:footnoteReference w:id="38"/>
      </w:r>
      <w:r w:rsidRPr="00F95E01">
        <w:rPr>
          <w:rFonts w:ascii="Times New Roman" w:hAnsi="Times New Roman" w:cs="Times New Roman"/>
          <w:sz w:val="24"/>
          <w:szCs w:val="24"/>
        </w:rPr>
        <w:t xml:space="preserve"> </w:t>
      </w:r>
      <w:proofErr w:type="spellStart"/>
      <w:r w:rsidRPr="00F95E01">
        <w:rPr>
          <w:rFonts w:ascii="Times New Roman" w:hAnsi="Times New Roman" w:cs="Times New Roman"/>
          <w:sz w:val="24"/>
          <w:szCs w:val="24"/>
        </w:rPr>
        <w:t>EoL</w:t>
      </w:r>
      <w:proofErr w:type="spellEnd"/>
      <w:r w:rsidRPr="00F95E01">
        <w:rPr>
          <w:rFonts w:ascii="Times New Roman" w:hAnsi="Times New Roman" w:cs="Times New Roman"/>
          <w:sz w:val="24"/>
          <w:szCs w:val="24"/>
        </w:rPr>
        <w:t xml:space="preserve"> (SI)</w:t>
      </w:r>
      <w:r w:rsidR="006A4375">
        <w:rPr>
          <w:rFonts w:ascii="Times New Roman" w:hAnsi="Times New Roman" w:cs="Times New Roman"/>
          <w:sz w:val="24"/>
          <w:szCs w:val="24"/>
        </w:rPr>
        <w:t>,</w:t>
      </w:r>
      <w:r w:rsidRPr="00F95E01">
        <w:rPr>
          <w:rStyle w:val="FootnoteReference"/>
          <w:rFonts w:ascii="Times New Roman" w:hAnsi="Times New Roman" w:cs="Times New Roman"/>
          <w:sz w:val="24"/>
          <w:szCs w:val="24"/>
        </w:rPr>
        <w:footnoteReference w:id="39"/>
      </w:r>
      <w:r w:rsidRPr="00F95E01">
        <w:rPr>
          <w:rFonts w:ascii="Times New Roman" w:hAnsi="Times New Roman" w:cs="Times New Roman"/>
          <w:sz w:val="24"/>
          <w:szCs w:val="24"/>
        </w:rPr>
        <w:t xml:space="preserve"> 2020TOGETHER (IT)</w:t>
      </w:r>
      <w:r w:rsidR="006A4375">
        <w:rPr>
          <w:rFonts w:ascii="Times New Roman" w:hAnsi="Times New Roman" w:cs="Times New Roman"/>
          <w:sz w:val="24"/>
          <w:szCs w:val="24"/>
        </w:rPr>
        <w:t>,</w:t>
      </w:r>
      <w:r w:rsidRPr="00F95E01">
        <w:rPr>
          <w:rStyle w:val="FootnoteReference"/>
          <w:rFonts w:ascii="Times New Roman" w:hAnsi="Times New Roman" w:cs="Times New Roman"/>
          <w:sz w:val="24"/>
          <w:szCs w:val="24"/>
        </w:rPr>
        <w:footnoteReference w:id="40"/>
      </w:r>
      <w:r w:rsidRPr="00F95E01">
        <w:rPr>
          <w:rFonts w:ascii="Times New Roman" w:hAnsi="Times New Roman" w:cs="Times New Roman"/>
          <w:sz w:val="24"/>
          <w:szCs w:val="24"/>
        </w:rPr>
        <w:t xml:space="preserve"> </w:t>
      </w:r>
      <w:proofErr w:type="spellStart"/>
      <w:r w:rsidRPr="00F95E01">
        <w:rPr>
          <w:rFonts w:ascii="Times New Roman" w:hAnsi="Times New Roman" w:cs="Times New Roman"/>
          <w:sz w:val="24"/>
          <w:szCs w:val="24"/>
        </w:rPr>
        <w:t>RenoWatt</w:t>
      </w:r>
      <w:proofErr w:type="spellEnd"/>
      <w:r w:rsidRPr="00F95E01">
        <w:rPr>
          <w:rFonts w:ascii="Times New Roman" w:hAnsi="Times New Roman" w:cs="Times New Roman"/>
          <w:sz w:val="24"/>
          <w:szCs w:val="24"/>
        </w:rPr>
        <w:t xml:space="preserve"> (BE)</w:t>
      </w:r>
      <w:r w:rsidR="006A4375">
        <w:rPr>
          <w:rFonts w:ascii="Times New Roman" w:hAnsi="Times New Roman" w:cs="Times New Roman"/>
          <w:sz w:val="24"/>
          <w:szCs w:val="24"/>
        </w:rPr>
        <w:t>.</w:t>
      </w:r>
      <w:r w:rsidRPr="00F95E01">
        <w:rPr>
          <w:rStyle w:val="FootnoteReference"/>
          <w:rFonts w:ascii="Times New Roman" w:hAnsi="Times New Roman" w:cs="Times New Roman"/>
          <w:sz w:val="24"/>
          <w:szCs w:val="24"/>
        </w:rPr>
        <w:footnoteReference w:id="41"/>
      </w:r>
    </w:p>
    <w:p w14:paraId="7978EEE7" w14:textId="77777777" w:rsidR="00B637CB" w:rsidRPr="00F95E01" w:rsidRDefault="00B637CB" w:rsidP="00B637CB">
      <w:pPr>
        <w:pStyle w:val="ListParagraph"/>
        <w:spacing w:after="0"/>
        <w:ind w:left="1080"/>
        <w:jc w:val="both"/>
        <w:rPr>
          <w:rFonts w:ascii="Times New Roman" w:hAnsi="Times New Roman" w:cs="Times New Roman"/>
          <w:color w:val="000000"/>
          <w:sz w:val="24"/>
          <w:szCs w:val="24"/>
        </w:rPr>
      </w:pPr>
    </w:p>
    <w:p w14:paraId="116368D9" w14:textId="53CE3577" w:rsidR="009A0F1D" w:rsidRPr="003449F9" w:rsidRDefault="003449F9" w:rsidP="003449F9">
      <w:pPr>
        <w:pStyle w:val="Heading3"/>
        <w:spacing w:before="0" w:after="0"/>
      </w:pPr>
      <w:r>
        <w:t xml:space="preserve"> </w:t>
      </w:r>
      <w:bookmarkStart w:id="101" w:name="_Toc524340617"/>
      <w:r w:rsidR="009A0F1D" w:rsidRPr="003449F9">
        <w:t>accessible and transparent advisory tools</w:t>
      </w:r>
      <w:bookmarkEnd w:id="101"/>
    </w:p>
    <w:p w14:paraId="2DBA0FBF" w14:textId="63F7912A" w:rsidR="009A0F1D" w:rsidRPr="00F95E01" w:rsidRDefault="009A0F1D" w:rsidP="00A84CB8">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 xml:space="preserve">“One-stop-shop” approach or integrated service for the energy renovation of buildings (e.g. </w:t>
      </w:r>
      <w:proofErr w:type="spellStart"/>
      <w:r w:rsidRPr="00F95E01">
        <w:rPr>
          <w:rFonts w:ascii="Times New Roman" w:hAnsi="Times New Roman" w:cs="Times New Roman"/>
          <w:color w:val="000000"/>
          <w:sz w:val="24"/>
          <w:szCs w:val="24"/>
        </w:rPr>
        <w:t>Energie</w:t>
      </w:r>
      <w:proofErr w:type="spellEnd"/>
      <w:r w:rsidRPr="00F95E01">
        <w:rPr>
          <w:rFonts w:ascii="Times New Roman" w:hAnsi="Times New Roman" w:cs="Times New Roman"/>
          <w:color w:val="000000"/>
          <w:sz w:val="24"/>
          <w:szCs w:val="24"/>
        </w:rPr>
        <w:t xml:space="preserve"> </w:t>
      </w:r>
      <w:proofErr w:type="spellStart"/>
      <w:r w:rsidRPr="00F95E01">
        <w:rPr>
          <w:rFonts w:ascii="Times New Roman" w:hAnsi="Times New Roman" w:cs="Times New Roman"/>
          <w:color w:val="000000"/>
          <w:sz w:val="24"/>
          <w:szCs w:val="24"/>
        </w:rPr>
        <w:t>Posit'If</w:t>
      </w:r>
      <w:proofErr w:type="spellEnd"/>
      <w:r w:rsidRPr="00F95E01">
        <w:rPr>
          <w:rFonts w:ascii="Times New Roman" w:hAnsi="Times New Roman" w:cs="Times New Roman"/>
          <w:color w:val="000000"/>
          <w:sz w:val="24"/>
          <w:szCs w:val="24"/>
        </w:rPr>
        <w:t xml:space="preserve"> for the refurbishment of condominiums (France)</w:t>
      </w:r>
      <w:r w:rsidR="006A4375">
        <w:rPr>
          <w:rFonts w:ascii="Times New Roman" w:hAnsi="Times New Roman" w:cs="Times New Roman"/>
          <w:color w:val="000000"/>
          <w:sz w:val="24"/>
          <w:szCs w:val="24"/>
        </w:rPr>
        <w:t>;</w:t>
      </w:r>
      <w:r w:rsidRPr="00F95E01">
        <w:rPr>
          <w:rStyle w:val="FootnoteReference"/>
          <w:rFonts w:ascii="Times New Roman" w:hAnsi="Times New Roman" w:cs="Times New Roman"/>
          <w:color w:val="000000"/>
          <w:sz w:val="24"/>
          <w:szCs w:val="24"/>
        </w:rPr>
        <w:footnoteReference w:id="42"/>
      </w:r>
      <w:r w:rsidRPr="00F95E01">
        <w:rPr>
          <w:rFonts w:ascii="Times New Roman" w:hAnsi="Times New Roman" w:cs="Times New Roman"/>
          <w:color w:val="000000"/>
          <w:sz w:val="24"/>
          <w:szCs w:val="24"/>
        </w:rPr>
        <w:t xml:space="preserve"> Picardie Pass </w:t>
      </w:r>
      <w:proofErr w:type="spellStart"/>
      <w:r w:rsidRPr="00F95E01">
        <w:rPr>
          <w:rFonts w:ascii="Times New Roman" w:hAnsi="Times New Roman" w:cs="Times New Roman"/>
          <w:color w:val="000000"/>
          <w:sz w:val="24"/>
          <w:szCs w:val="24"/>
        </w:rPr>
        <w:t>Rénovation</w:t>
      </w:r>
      <w:proofErr w:type="spellEnd"/>
      <w:r w:rsidRPr="00F95E01">
        <w:rPr>
          <w:rFonts w:ascii="Times New Roman" w:hAnsi="Times New Roman" w:cs="Times New Roman"/>
          <w:color w:val="000000"/>
          <w:sz w:val="24"/>
          <w:szCs w:val="24"/>
        </w:rPr>
        <w:t xml:space="preserve"> (France) for the deep renovation of detached houses (France)</w:t>
      </w:r>
      <w:r w:rsidR="006A4375">
        <w:rPr>
          <w:rFonts w:ascii="Times New Roman" w:hAnsi="Times New Roman" w:cs="Times New Roman"/>
          <w:color w:val="000000"/>
          <w:sz w:val="24"/>
          <w:szCs w:val="24"/>
        </w:rPr>
        <w:t>;</w:t>
      </w:r>
      <w:r w:rsidRPr="00F95E01">
        <w:rPr>
          <w:rStyle w:val="FootnoteReference"/>
          <w:rFonts w:ascii="Times New Roman" w:hAnsi="Times New Roman" w:cs="Times New Roman"/>
          <w:color w:val="000000"/>
          <w:sz w:val="24"/>
          <w:szCs w:val="24"/>
        </w:rPr>
        <w:footnoteReference w:id="43"/>
      </w:r>
      <w:r w:rsidRPr="00F95E01">
        <w:rPr>
          <w:rFonts w:ascii="Times New Roman" w:hAnsi="Times New Roman" w:cs="Times New Roman"/>
          <w:color w:val="000000"/>
          <w:sz w:val="24"/>
          <w:szCs w:val="24"/>
        </w:rPr>
        <w:t xml:space="preserve"> </w:t>
      </w:r>
    </w:p>
    <w:p w14:paraId="55FACDBB" w14:textId="77777777" w:rsidR="009A0F1D" w:rsidRDefault="009A0F1D" w:rsidP="00A84CB8">
      <w:pPr>
        <w:pStyle w:val="ListParagraph"/>
        <w:numPr>
          <w:ilvl w:val="0"/>
          <w:numId w:val="9"/>
        </w:numPr>
        <w:spacing w:after="0"/>
        <w:jc w:val="both"/>
        <w:rPr>
          <w:rFonts w:ascii="Times New Roman" w:hAnsi="Times New Roman" w:cs="Times New Roman"/>
          <w:color w:val="000000"/>
          <w:sz w:val="24"/>
          <w:szCs w:val="24"/>
        </w:rPr>
      </w:pPr>
      <w:r w:rsidRPr="00F95E01">
        <w:rPr>
          <w:rFonts w:ascii="Times New Roman" w:hAnsi="Times New Roman" w:cs="Times New Roman"/>
          <w:color w:val="000000"/>
          <w:sz w:val="24"/>
          <w:szCs w:val="24"/>
        </w:rPr>
        <w:t xml:space="preserve">General advisory services (e.g. FI-Compass, the European Investment Advisory Hub), technical guidance on financing the energy renovation of buildings with Cohesion policy funding. </w:t>
      </w:r>
    </w:p>
    <w:p w14:paraId="2F71FCF8" w14:textId="77777777" w:rsidR="00B637CB" w:rsidRDefault="00B637CB" w:rsidP="00B637CB">
      <w:pPr>
        <w:pStyle w:val="ListParagraph"/>
        <w:spacing w:after="0"/>
        <w:ind w:left="1080"/>
        <w:jc w:val="both"/>
        <w:rPr>
          <w:rFonts w:ascii="Times New Roman" w:hAnsi="Times New Roman" w:cs="Times New Roman"/>
          <w:color w:val="000000"/>
          <w:sz w:val="24"/>
          <w:szCs w:val="24"/>
        </w:rPr>
      </w:pPr>
    </w:p>
    <w:p w14:paraId="11B35362" w14:textId="0F6C6C04" w:rsidR="009A0F1D" w:rsidRDefault="009A0F1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rPr>
      </w:pPr>
      <w:r w:rsidRPr="006A4375">
        <w:rPr>
          <w:rFonts w:ascii="Times New Roman" w:hAnsi="Times New Roman" w:cs="Times New Roman"/>
          <w:b/>
          <w:i/>
          <w:sz w:val="24"/>
          <w:szCs w:val="24"/>
        </w:rPr>
        <w:t>Smart Finance for Smart Buildings</w:t>
      </w:r>
      <w:r w:rsidRPr="00BD2FAA">
        <w:rPr>
          <w:rFonts w:ascii="Times New Roman" w:hAnsi="Times New Roman" w:cs="Times New Roman"/>
          <w:i/>
          <w:sz w:val="24"/>
          <w:szCs w:val="24"/>
        </w:rPr>
        <w:t xml:space="preserve"> includes several initiatives at EU level which can support Member States in their efforts to set up and facilitate access to appropriate mechanisms to support the mobilisation of investments into building renovation:</w:t>
      </w:r>
    </w:p>
    <w:p w14:paraId="2FE39C17" w14:textId="77777777" w:rsidR="001D71BD" w:rsidRPr="00BD2FAA" w:rsidRDefault="001D71B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rPr>
      </w:pPr>
    </w:p>
    <w:p w14:paraId="27927EEA" w14:textId="4DAE3FA2" w:rsidR="009A0F1D" w:rsidRPr="00BD2FAA" w:rsidRDefault="009A0F1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rPr>
      </w:pPr>
      <w:r w:rsidRPr="00BD2FAA">
        <w:rPr>
          <w:rFonts w:ascii="Times New Roman" w:hAnsi="Times New Roman" w:cs="Times New Roman"/>
          <w:i/>
          <w:sz w:val="24"/>
          <w:szCs w:val="24"/>
          <w:u w:val="single"/>
        </w:rPr>
        <w:t>Sustainable Energy Investments Forums initiative</w:t>
      </w:r>
      <w:r w:rsidRPr="00BD2FAA">
        <w:rPr>
          <w:rFonts w:ascii="Times New Roman" w:hAnsi="Times New Roman" w:cs="Times New Roman"/>
          <w:i/>
          <w:sz w:val="24"/>
          <w:szCs w:val="24"/>
        </w:rPr>
        <w:t xml:space="preserve"> </w:t>
      </w:r>
    </w:p>
    <w:p w14:paraId="0D6E0124" w14:textId="47AF18B9" w:rsidR="001D71BD" w:rsidRDefault="00CF3EC9" w:rsidP="00CE6267">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rPr>
      </w:pPr>
      <w:hyperlink r:id="rId11" w:history="1">
        <w:r w:rsidR="00F26AB4" w:rsidRPr="005C4EAF">
          <w:rPr>
            <w:rStyle w:val="Hyperlink"/>
            <w:rFonts w:ascii="Times New Roman" w:hAnsi="Times New Roman" w:cs="Times New Roman"/>
          </w:rPr>
          <w:t>https://ec.europa.eu/energy/en/financing-energy-efficiency/sustainable-energy-investment-forums</w:t>
        </w:r>
      </w:hyperlink>
    </w:p>
    <w:p w14:paraId="23544667" w14:textId="77777777" w:rsidR="00F26AB4" w:rsidRDefault="00F26AB4"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u w:val="single"/>
        </w:rPr>
      </w:pPr>
    </w:p>
    <w:p w14:paraId="3A1BA635" w14:textId="4CF715B9" w:rsidR="009A0F1D" w:rsidRDefault="009A0F1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rPr>
      </w:pPr>
      <w:proofErr w:type="spellStart"/>
      <w:r w:rsidRPr="00BD2FAA">
        <w:rPr>
          <w:rFonts w:ascii="Times New Roman" w:hAnsi="Times New Roman" w:cs="Times New Roman"/>
          <w:i/>
          <w:sz w:val="24"/>
          <w:szCs w:val="24"/>
          <w:u w:val="single"/>
        </w:rPr>
        <w:t>ManagEnergy</w:t>
      </w:r>
      <w:proofErr w:type="spellEnd"/>
      <w:r w:rsidRPr="00BD2FAA">
        <w:rPr>
          <w:rFonts w:ascii="Times New Roman" w:hAnsi="Times New Roman" w:cs="Times New Roman"/>
          <w:i/>
          <w:sz w:val="24"/>
          <w:szCs w:val="24"/>
          <w:u w:val="single"/>
        </w:rPr>
        <w:t xml:space="preserve"> initiative</w:t>
      </w:r>
      <w:r w:rsidRPr="00BD2FAA">
        <w:rPr>
          <w:rFonts w:ascii="Times New Roman" w:hAnsi="Times New Roman" w:cs="Times New Roman"/>
          <w:i/>
          <w:sz w:val="24"/>
          <w:szCs w:val="24"/>
        </w:rPr>
        <w:t xml:space="preserve"> </w:t>
      </w:r>
    </w:p>
    <w:p w14:paraId="749AFF39" w14:textId="793E34E0" w:rsidR="00F26AB4" w:rsidRPr="00BD2FAA" w:rsidRDefault="00CF3EC9"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r:id="rId12" w:history="1">
        <w:r w:rsidR="00F26AB4" w:rsidRPr="005C4EAF">
          <w:rPr>
            <w:rStyle w:val="Hyperlink"/>
            <w:rFonts w:ascii="Times New Roman" w:hAnsi="Times New Roman" w:cs="Times New Roman"/>
          </w:rPr>
          <w:t>https://www.managenergy.net/</w:t>
        </w:r>
      </w:hyperlink>
    </w:p>
    <w:p w14:paraId="5257CD5B" w14:textId="77777777" w:rsidR="001D71BD" w:rsidRDefault="001D71B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u w:val="single"/>
        </w:rPr>
      </w:pPr>
    </w:p>
    <w:p w14:paraId="51C418DE" w14:textId="00E53022" w:rsidR="009A0F1D" w:rsidRPr="00CF3EC9" w:rsidRDefault="009A0F1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u w:val="single"/>
        </w:rPr>
      </w:pPr>
      <w:proofErr w:type="spellStart"/>
      <w:r w:rsidRPr="00CF3EC9">
        <w:rPr>
          <w:rFonts w:ascii="Times New Roman" w:hAnsi="Times New Roman" w:cs="Times New Roman"/>
          <w:i/>
          <w:sz w:val="24"/>
          <w:szCs w:val="24"/>
          <w:u w:val="single"/>
        </w:rPr>
        <w:t>European</w:t>
      </w:r>
      <w:proofErr w:type="spellEnd"/>
      <w:r w:rsidRPr="00CF3EC9">
        <w:rPr>
          <w:rFonts w:ascii="Times New Roman" w:hAnsi="Times New Roman" w:cs="Times New Roman"/>
          <w:i/>
          <w:sz w:val="24"/>
          <w:szCs w:val="24"/>
          <w:u w:val="single"/>
        </w:rPr>
        <w:t xml:space="preserve"> Local </w:t>
      </w:r>
      <w:proofErr w:type="spellStart"/>
      <w:r w:rsidRPr="00CF3EC9">
        <w:rPr>
          <w:rFonts w:ascii="Times New Roman" w:hAnsi="Times New Roman" w:cs="Times New Roman"/>
          <w:i/>
          <w:sz w:val="24"/>
          <w:szCs w:val="24"/>
          <w:u w:val="single"/>
        </w:rPr>
        <w:t>ENergy</w:t>
      </w:r>
      <w:proofErr w:type="spellEnd"/>
      <w:r w:rsidRPr="00CF3EC9">
        <w:rPr>
          <w:rFonts w:ascii="Times New Roman" w:hAnsi="Times New Roman" w:cs="Times New Roman"/>
          <w:i/>
          <w:sz w:val="24"/>
          <w:szCs w:val="24"/>
          <w:u w:val="single"/>
        </w:rPr>
        <w:t xml:space="preserve"> </w:t>
      </w:r>
      <w:proofErr w:type="spellStart"/>
      <w:proofErr w:type="gramStart"/>
      <w:r w:rsidRPr="00CF3EC9">
        <w:rPr>
          <w:rFonts w:ascii="Times New Roman" w:hAnsi="Times New Roman" w:cs="Times New Roman"/>
          <w:i/>
          <w:sz w:val="24"/>
          <w:szCs w:val="24"/>
          <w:u w:val="single"/>
        </w:rPr>
        <w:t>Assistance</w:t>
      </w:r>
      <w:proofErr w:type="spellEnd"/>
      <w:r w:rsidRPr="00CF3EC9">
        <w:rPr>
          <w:rFonts w:ascii="Times New Roman" w:hAnsi="Times New Roman" w:cs="Times New Roman"/>
          <w:i/>
          <w:sz w:val="24"/>
          <w:szCs w:val="24"/>
          <w:u w:val="single"/>
        </w:rPr>
        <w:t xml:space="preserve">  (</w:t>
      </w:r>
      <w:proofErr w:type="gramEnd"/>
      <w:r w:rsidRPr="00CF3EC9">
        <w:rPr>
          <w:rFonts w:ascii="Times New Roman" w:hAnsi="Times New Roman" w:cs="Times New Roman"/>
          <w:i/>
          <w:sz w:val="24"/>
          <w:szCs w:val="24"/>
          <w:u w:val="single"/>
        </w:rPr>
        <w:t>ELENA)</w:t>
      </w:r>
    </w:p>
    <w:bookmarkStart w:id="102" w:name="_GoBack"/>
    <w:p w14:paraId="4B6A79BC" w14:textId="250154ED" w:rsidR="00F26AB4" w:rsidRPr="00CF3EC9" w:rsidRDefault="00CF3EC9"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Style w:val="Hyperlink"/>
          <w:rFonts w:ascii="Times New Roman" w:hAnsi="Times New Roman" w:cs="Times New Roman"/>
          <w:sz w:val="24"/>
          <w:szCs w:val="24"/>
        </w:rPr>
        <w:fldChar w:fldCharType="begin"/>
      </w:r>
      <w:r w:rsidRPr="00CF3EC9">
        <w:rPr>
          <w:rStyle w:val="Hyperlink"/>
          <w:rFonts w:ascii="Times New Roman" w:hAnsi="Times New Roman" w:cs="Times New Roman"/>
          <w:sz w:val="24"/>
          <w:szCs w:val="24"/>
        </w:rPr>
        <w:instrText xml:space="preserve"> HYPERLINK "http://www.eib.org/en/products/advising/elena/index.htm" </w:instrText>
      </w:r>
      <w:r>
        <w:rPr>
          <w:rStyle w:val="Hyperlink"/>
          <w:rFonts w:ascii="Times New Roman" w:hAnsi="Times New Roman" w:cs="Times New Roman"/>
          <w:sz w:val="24"/>
          <w:szCs w:val="24"/>
        </w:rPr>
        <w:fldChar w:fldCharType="separate"/>
      </w:r>
      <w:r w:rsidR="000A4348" w:rsidRPr="00CF3EC9">
        <w:rPr>
          <w:rStyle w:val="Hyperlink"/>
          <w:rFonts w:ascii="Times New Roman" w:hAnsi="Times New Roman" w:cs="Times New Roman"/>
          <w:sz w:val="24"/>
          <w:szCs w:val="24"/>
        </w:rPr>
        <w:t>http://www.eib.org/en/products/advising/elena/index.htm</w:t>
      </w:r>
      <w:r>
        <w:rPr>
          <w:rStyle w:val="Hyperlink"/>
          <w:rFonts w:ascii="Times New Roman" w:hAnsi="Times New Roman" w:cs="Times New Roman"/>
          <w:sz w:val="24"/>
          <w:szCs w:val="24"/>
        </w:rPr>
        <w:fldChar w:fldCharType="end"/>
      </w:r>
      <w:bookmarkEnd w:id="102"/>
      <w:r w:rsidR="000A4348" w:rsidRPr="00CF3EC9">
        <w:rPr>
          <w:rFonts w:ascii="Times New Roman" w:hAnsi="Times New Roman" w:cs="Times New Roman"/>
          <w:sz w:val="24"/>
          <w:szCs w:val="24"/>
        </w:rPr>
        <w:t xml:space="preserve"> </w:t>
      </w:r>
    </w:p>
    <w:p w14:paraId="502E76D4" w14:textId="77777777" w:rsidR="001D71BD" w:rsidRPr="00CF3EC9" w:rsidRDefault="001D71B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rPr>
      </w:pPr>
    </w:p>
    <w:p w14:paraId="22A2ED30" w14:textId="77777777" w:rsidR="009A0F1D" w:rsidRPr="00BD2FAA" w:rsidRDefault="009A0F1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u w:val="single"/>
        </w:rPr>
      </w:pPr>
      <w:r w:rsidRPr="00BD2FAA">
        <w:rPr>
          <w:rFonts w:ascii="Times New Roman" w:hAnsi="Times New Roman" w:cs="Times New Roman"/>
          <w:i/>
          <w:sz w:val="24"/>
          <w:szCs w:val="24"/>
          <w:u w:val="single"/>
        </w:rPr>
        <w:t>Horizon 2020: financing energy efficiency calls</w:t>
      </w:r>
    </w:p>
    <w:p w14:paraId="3496BB21" w14:textId="73743036" w:rsidR="009A0F1D" w:rsidRPr="00BD2FAA" w:rsidRDefault="009A0F1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rPr>
      </w:pPr>
      <w:r w:rsidRPr="00BD2FAA">
        <w:rPr>
          <w:rFonts w:ascii="Times New Roman" w:hAnsi="Times New Roman" w:cs="Times New Roman"/>
          <w:i/>
          <w:sz w:val="24"/>
          <w:szCs w:val="24"/>
        </w:rPr>
        <w:t>The updated work programme for 2018-2020 can be found here:</w:t>
      </w:r>
      <w:r w:rsidRPr="00BD2FAA">
        <w:rPr>
          <w:rFonts w:ascii="Times New Roman" w:hAnsi="Times New Roman" w:cs="Times New Roman"/>
          <w:i/>
          <w:sz w:val="24"/>
          <w:szCs w:val="24"/>
        </w:rPr>
        <w:tab/>
        <w:t xml:space="preserve"> </w:t>
      </w:r>
      <w:hyperlink r:id="rId13" w:history="1">
        <w:r w:rsidRPr="000A4348">
          <w:rPr>
            <w:rStyle w:val="Hyperlink"/>
            <w:rFonts w:ascii="Times New Roman" w:hAnsi="Times New Roman" w:cs="Times New Roman"/>
            <w:sz w:val="24"/>
            <w:szCs w:val="24"/>
          </w:rPr>
          <w:t>http://ec.europa.eu/research/participants/data/ref/h2020/wp/2018-2020/main/h2020-wp1820-energy_en.pdf</w:t>
        </w:r>
      </w:hyperlink>
    </w:p>
    <w:p w14:paraId="00FCB6E8" w14:textId="77777777" w:rsidR="001D71BD" w:rsidRDefault="001D71BD" w:rsidP="00CE626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color w:val="000000"/>
          <w:sz w:val="24"/>
          <w:szCs w:val="24"/>
          <w:u w:val="single"/>
        </w:rPr>
      </w:pPr>
    </w:p>
    <w:p w14:paraId="3DE87469" w14:textId="249CDEF6" w:rsidR="001D71BD" w:rsidRDefault="009A0F1D" w:rsidP="00517191">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
          <w:sz w:val="24"/>
          <w:szCs w:val="20"/>
          <w:lang w:eastAsia="fr-BE"/>
        </w:rPr>
      </w:pPr>
      <w:r w:rsidRPr="00BD2FAA">
        <w:rPr>
          <w:rFonts w:ascii="Times New Roman" w:hAnsi="Times New Roman" w:cs="Times New Roman"/>
          <w:i/>
          <w:color w:val="000000"/>
          <w:sz w:val="24"/>
          <w:szCs w:val="24"/>
          <w:u w:val="single"/>
        </w:rPr>
        <w:lastRenderedPageBreak/>
        <w:t>General advisory services</w:t>
      </w:r>
      <w:r w:rsidRPr="00BD2FAA">
        <w:rPr>
          <w:rFonts w:ascii="Times New Roman" w:hAnsi="Times New Roman" w:cs="Times New Roman"/>
          <w:i/>
          <w:color w:val="000000"/>
          <w:sz w:val="24"/>
          <w:szCs w:val="24"/>
        </w:rPr>
        <w:t xml:space="preserve"> (e.g. FI-Compass</w:t>
      </w:r>
      <w:r w:rsidRPr="00BD2FAA">
        <w:rPr>
          <w:rStyle w:val="FootnoteReference"/>
          <w:rFonts w:ascii="Times New Roman" w:hAnsi="Times New Roman" w:cs="Times New Roman"/>
          <w:i/>
          <w:color w:val="000000"/>
          <w:sz w:val="24"/>
          <w:szCs w:val="24"/>
        </w:rPr>
        <w:footnoteReference w:id="44"/>
      </w:r>
      <w:r w:rsidRPr="00BD2FAA">
        <w:rPr>
          <w:rFonts w:ascii="Times New Roman" w:hAnsi="Times New Roman" w:cs="Times New Roman"/>
          <w:i/>
          <w:color w:val="000000"/>
          <w:sz w:val="24"/>
          <w:szCs w:val="24"/>
        </w:rPr>
        <w:t>, the European Investment Advisory Hub</w:t>
      </w:r>
      <w:r w:rsidRPr="00BD2FAA">
        <w:rPr>
          <w:rStyle w:val="FootnoteReference"/>
          <w:rFonts w:ascii="Times New Roman" w:hAnsi="Times New Roman" w:cs="Times New Roman"/>
          <w:i/>
          <w:color w:val="000000"/>
          <w:sz w:val="24"/>
          <w:szCs w:val="24"/>
        </w:rPr>
        <w:footnoteReference w:id="45"/>
      </w:r>
      <w:r w:rsidRPr="00BD2FAA">
        <w:rPr>
          <w:rFonts w:ascii="Times New Roman" w:hAnsi="Times New Roman" w:cs="Times New Roman"/>
          <w:i/>
          <w:color w:val="000000"/>
          <w:sz w:val="24"/>
          <w:szCs w:val="24"/>
        </w:rPr>
        <w:t xml:space="preserve">) can </w:t>
      </w:r>
      <w:r w:rsidR="00530DDA">
        <w:rPr>
          <w:rFonts w:ascii="Times New Roman" w:hAnsi="Times New Roman" w:cs="Times New Roman"/>
          <w:i/>
          <w:color w:val="000000"/>
          <w:sz w:val="24"/>
          <w:szCs w:val="24"/>
        </w:rPr>
        <w:t>provide</w:t>
      </w:r>
      <w:r w:rsidRPr="00BD2FAA">
        <w:rPr>
          <w:rFonts w:ascii="Times New Roman" w:hAnsi="Times New Roman" w:cs="Times New Roman"/>
          <w:i/>
          <w:color w:val="000000"/>
          <w:sz w:val="24"/>
          <w:szCs w:val="24"/>
        </w:rPr>
        <w:t xml:space="preserve"> technical guidance on financing the energy renovation of buildings.</w:t>
      </w:r>
      <w:r w:rsidR="001D71BD">
        <w:br w:type="page"/>
      </w:r>
    </w:p>
    <w:p w14:paraId="7E383846" w14:textId="78285241" w:rsidR="004B194D" w:rsidRDefault="004B194D" w:rsidP="00CE6267">
      <w:pPr>
        <w:pStyle w:val="Heading2"/>
        <w:spacing w:before="0" w:after="0"/>
      </w:pPr>
      <w:bookmarkStart w:id="103" w:name="_Toc524340618"/>
      <w:r w:rsidRPr="00A749FE">
        <w:lastRenderedPageBreak/>
        <w:t>Public consultation</w:t>
      </w:r>
      <w:bookmarkEnd w:id="103"/>
    </w:p>
    <w:p w14:paraId="526A2BBD" w14:textId="4463E064" w:rsidR="00B637CB" w:rsidRDefault="00B637CB" w:rsidP="00CE6267">
      <w:pPr>
        <w:spacing w:after="0"/>
        <w:jc w:val="both"/>
        <w:rPr>
          <w:rFonts w:ascii="Times New Roman" w:hAnsi="Times New Roman" w:cs="Times New Roman"/>
          <w:sz w:val="24"/>
          <w:szCs w:val="24"/>
        </w:rPr>
      </w:pPr>
    </w:p>
    <w:p w14:paraId="1B6FFADE" w14:textId="765E5B49" w:rsidR="004B194D" w:rsidRDefault="00B637CB" w:rsidP="00CE6267">
      <w:pPr>
        <w:spacing w:after="0"/>
        <w:jc w:val="both"/>
        <w:rPr>
          <w:rFonts w:ascii="Times New Roman" w:hAnsi="Times New Roman" w:cs="Times New Roman"/>
          <w:sz w:val="24"/>
          <w:szCs w:val="24"/>
        </w:rPr>
      </w:pPr>
      <w:r>
        <w:rPr>
          <w:rFonts w:ascii="Times New Roman" w:hAnsi="Times New Roman" w:cs="Times New Roman"/>
          <w:sz w:val="24"/>
          <w:szCs w:val="24"/>
        </w:rPr>
        <w:t>T</w:t>
      </w:r>
      <w:r w:rsidR="004B194D" w:rsidRPr="00A749FE">
        <w:rPr>
          <w:rFonts w:ascii="Times New Roman" w:hAnsi="Times New Roman" w:cs="Times New Roman"/>
          <w:sz w:val="24"/>
          <w:szCs w:val="24"/>
        </w:rPr>
        <w:t>he European Commission, in developing policy and legislation, relies on a transparent process, which involves citizens and stakeholders (for example, businesses, public administrations and researchers) throughout. Guidelines for the consultation of stakeholders have been developed and these may be useful for Member States in formulating their own process.</w:t>
      </w:r>
      <w:r w:rsidR="004B194D" w:rsidRPr="00A749FE">
        <w:rPr>
          <w:rStyle w:val="FootnoteReference"/>
          <w:rFonts w:ascii="Times New Roman" w:hAnsi="Times New Roman" w:cs="Times New Roman"/>
          <w:sz w:val="24"/>
          <w:szCs w:val="24"/>
        </w:rPr>
        <w:footnoteReference w:id="46"/>
      </w:r>
      <w:r w:rsidR="004B194D" w:rsidRPr="00A749FE">
        <w:rPr>
          <w:rFonts w:ascii="Times New Roman" w:hAnsi="Times New Roman" w:cs="Times New Roman"/>
          <w:sz w:val="24"/>
          <w:szCs w:val="24"/>
        </w:rPr>
        <w:t xml:space="preserve"> </w:t>
      </w:r>
    </w:p>
    <w:p w14:paraId="2DAC22AE" w14:textId="77777777" w:rsidR="008758C4" w:rsidRPr="00A749FE" w:rsidRDefault="008758C4" w:rsidP="00CE6267">
      <w:pPr>
        <w:spacing w:after="0"/>
        <w:jc w:val="both"/>
        <w:rPr>
          <w:rFonts w:ascii="Times New Roman" w:hAnsi="Times New Roman" w:cs="Times New Roman"/>
          <w:sz w:val="24"/>
          <w:szCs w:val="24"/>
        </w:rPr>
      </w:pPr>
    </w:p>
    <w:p w14:paraId="31F7E673" w14:textId="67AC0382"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The following broad principles, adapted from the UK Government’s guidance on </w:t>
      </w:r>
      <w:r w:rsidR="005428A3" w:rsidRPr="00A749FE">
        <w:rPr>
          <w:rFonts w:ascii="Times New Roman" w:hAnsi="Times New Roman" w:cs="Times New Roman"/>
          <w:sz w:val="24"/>
          <w:szCs w:val="24"/>
        </w:rPr>
        <w:t>c</w:t>
      </w:r>
      <w:r w:rsidRPr="00A749FE">
        <w:rPr>
          <w:rFonts w:ascii="Times New Roman" w:hAnsi="Times New Roman" w:cs="Times New Roman"/>
          <w:sz w:val="24"/>
          <w:szCs w:val="24"/>
        </w:rPr>
        <w:t xml:space="preserve">onsultation </w:t>
      </w:r>
      <w:r w:rsidR="005428A3" w:rsidRPr="00A749FE">
        <w:rPr>
          <w:rFonts w:ascii="Times New Roman" w:hAnsi="Times New Roman" w:cs="Times New Roman"/>
          <w:sz w:val="24"/>
          <w:szCs w:val="24"/>
        </w:rPr>
        <w:t>p</w:t>
      </w:r>
      <w:r w:rsidRPr="00A749FE">
        <w:rPr>
          <w:rFonts w:ascii="Times New Roman" w:hAnsi="Times New Roman" w:cs="Times New Roman"/>
          <w:sz w:val="24"/>
          <w:szCs w:val="24"/>
        </w:rPr>
        <w:t>rinciples,</w:t>
      </w:r>
      <w:r w:rsidRPr="00A749FE">
        <w:rPr>
          <w:rStyle w:val="FootnoteReference"/>
          <w:rFonts w:ascii="Times New Roman" w:hAnsi="Times New Roman" w:cs="Times New Roman"/>
          <w:sz w:val="24"/>
          <w:szCs w:val="24"/>
        </w:rPr>
        <w:footnoteReference w:id="47"/>
      </w:r>
      <w:r w:rsidRPr="00A749FE">
        <w:rPr>
          <w:rFonts w:ascii="Times New Roman" w:hAnsi="Times New Roman" w:cs="Times New Roman"/>
          <w:sz w:val="24"/>
          <w:szCs w:val="24"/>
        </w:rPr>
        <w:t xml:space="preserve"> could serve as useful guidelines for Member States in defining public consultation methodology for the development of their LTRS.</w:t>
      </w:r>
    </w:p>
    <w:p w14:paraId="3FBB43AE" w14:textId="77777777" w:rsidR="008758C4" w:rsidRPr="00A749FE" w:rsidRDefault="008758C4" w:rsidP="00CE6267">
      <w:pPr>
        <w:spacing w:after="0"/>
        <w:jc w:val="both"/>
        <w:rPr>
          <w:rFonts w:ascii="Times New Roman" w:hAnsi="Times New Roman" w:cs="Times New Roman"/>
          <w:sz w:val="24"/>
          <w:szCs w:val="24"/>
        </w:rPr>
      </w:pPr>
    </w:p>
    <w:p w14:paraId="0E508E6A"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Consultations should be clear and concise </w:t>
      </w:r>
    </w:p>
    <w:p w14:paraId="43743AAB"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Be clear what questions you are asking and limit the number of questions to those that are necessary. Make them easy to understand and easy to answer. Avoid lengthy documents. </w:t>
      </w:r>
    </w:p>
    <w:p w14:paraId="0E203538" w14:textId="77777777" w:rsidR="008758C4" w:rsidRPr="00A749FE" w:rsidRDefault="008758C4" w:rsidP="00CE6267">
      <w:pPr>
        <w:spacing w:after="0"/>
        <w:jc w:val="both"/>
        <w:rPr>
          <w:rFonts w:ascii="Times New Roman" w:hAnsi="Times New Roman" w:cs="Times New Roman"/>
          <w:sz w:val="24"/>
          <w:szCs w:val="24"/>
        </w:rPr>
      </w:pPr>
    </w:p>
    <w:p w14:paraId="5CFB9ADF"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Consultations should have a purpose </w:t>
      </w:r>
    </w:p>
    <w:p w14:paraId="3B71344E"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Take consultation responses into account when taking policy forward. Consult about policies or implementation plans when the development of the policies or plans is at a formative stage. Do not ask questions about issues on which you already have a final view. </w:t>
      </w:r>
    </w:p>
    <w:p w14:paraId="04A65201" w14:textId="77777777" w:rsidR="008758C4" w:rsidRPr="00A749FE" w:rsidRDefault="008758C4" w:rsidP="00CE6267">
      <w:pPr>
        <w:spacing w:after="0"/>
        <w:jc w:val="both"/>
        <w:rPr>
          <w:rFonts w:ascii="Times New Roman" w:hAnsi="Times New Roman" w:cs="Times New Roman"/>
          <w:sz w:val="24"/>
          <w:szCs w:val="24"/>
        </w:rPr>
      </w:pPr>
    </w:p>
    <w:p w14:paraId="00F05F45"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Consultations should be informative </w:t>
      </w:r>
    </w:p>
    <w:p w14:paraId="20837FC2"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Give enough information to ensure that those consulted understand the issues and can give informed responses. Include validated impact assessments of the costs and benefits of the options being considered when possible. </w:t>
      </w:r>
    </w:p>
    <w:p w14:paraId="7BA4ADBA" w14:textId="77777777" w:rsidR="008758C4" w:rsidRPr="00A749FE" w:rsidRDefault="008758C4" w:rsidP="00CE6267">
      <w:pPr>
        <w:spacing w:after="0"/>
        <w:jc w:val="both"/>
        <w:rPr>
          <w:rFonts w:ascii="Times New Roman" w:hAnsi="Times New Roman" w:cs="Times New Roman"/>
          <w:sz w:val="24"/>
          <w:szCs w:val="24"/>
        </w:rPr>
      </w:pPr>
    </w:p>
    <w:p w14:paraId="6FC8F6F6"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Consultations are only part of a process </w:t>
      </w:r>
    </w:p>
    <w:p w14:paraId="0BB73DA2"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Consider whether informal iterative consultation is appropriate, using new digital tools and open, collaborative approaches. Consultation is not just about formal documents and responses. It is an on-going process. </w:t>
      </w:r>
    </w:p>
    <w:p w14:paraId="77A9AFB4" w14:textId="77777777" w:rsidR="008758C4" w:rsidRPr="00A749FE" w:rsidRDefault="008758C4" w:rsidP="00CE6267">
      <w:pPr>
        <w:spacing w:after="0"/>
        <w:jc w:val="both"/>
        <w:rPr>
          <w:rFonts w:ascii="Times New Roman" w:hAnsi="Times New Roman" w:cs="Times New Roman"/>
          <w:sz w:val="24"/>
          <w:szCs w:val="24"/>
        </w:rPr>
      </w:pPr>
    </w:p>
    <w:p w14:paraId="0FC42E1F"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Consultations should last for a proportionate amount of time </w:t>
      </w:r>
    </w:p>
    <w:p w14:paraId="742A0C90"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Judge the length of the consultation </w:t>
      </w:r>
      <w:proofErr w:type="gramStart"/>
      <w:r w:rsidRPr="00A749FE">
        <w:rPr>
          <w:rFonts w:ascii="Times New Roman" w:hAnsi="Times New Roman" w:cs="Times New Roman"/>
          <w:sz w:val="24"/>
          <w:szCs w:val="24"/>
        </w:rPr>
        <w:t>on the basis of</w:t>
      </w:r>
      <w:proofErr w:type="gramEnd"/>
      <w:r w:rsidRPr="00A749FE">
        <w:rPr>
          <w:rFonts w:ascii="Times New Roman" w:hAnsi="Times New Roman" w:cs="Times New Roman"/>
          <w:sz w:val="24"/>
          <w:szCs w:val="24"/>
        </w:rPr>
        <w:t xml:space="preserve"> the nature and impact of the proposal. Consulting for too long will delay policy development. Consulting too quickly will not give enough time and will reduce the quality of responses. </w:t>
      </w:r>
    </w:p>
    <w:p w14:paraId="43C68566" w14:textId="77777777" w:rsidR="008758C4" w:rsidRPr="00A749FE" w:rsidRDefault="008758C4" w:rsidP="00CE6267">
      <w:pPr>
        <w:spacing w:after="0"/>
        <w:jc w:val="both"/>
        <w:rPr>
          <w:rFonts w:ascii="Times New Roman" w:hAnsi="Times New Roman" w:cs="Times New Roman"/>
          <w:sz w:val="24"/>
          <w:szCs w:val="24"/>
        </w:rPr>
      </w:pPr>
    </w:p>
    <w:p w14:paraId="0C30DE16"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Consultations should be targeted </w:t>
      </w:r>
    </w:p>
    <w:p w14:paraId="49C4A984"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Consider the full range of stakeholders affected by the policy, and whether representative groups exist. Consider targeting specific groups if appropriate. Ensure they are aware of the consultation and can access it. </w:t>
      </w:r>
    </w:p>
    <w:p w14:paraId="18A7F749"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lastRenderedPageBreak/>
        <w:t xml:space="preserve">Consultations should take account of the groups being consulted </w:t>
      </w:r>
    </w:p>
    <w:p w14:paraId="7EC6662F"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Certain stakeholders may need more time to respond. When the consultation spans all or part of a holiday period, consider how this may affect consultation and take appropriate mitigating action, such as prior discussion with key interested parties or extension of the deadline. </w:t>
      </w:r>
    </w:p>
    <w:p w14:paraId="54D9222D" w14:textId="77777777" w:rsidR="003B5E45" w:rsidRPr="00A749FE" w:rsidRDefault="003B5E45" w:rsidP="00CE6267">
      <w:pPr>
        <w:spacing w:after="0"/>
        <w:jc w:val="both"/>
        <w:rPr>
          <w:rFonts w:ascii="Times New Roman" w:hAnsi="Times New Roman" w:cs="Times New Roman"/>
          <w:sz w:val="24"/>
          <w:szCs w:val="24"/>
        </w:rPr>
      </w:pPr>
    </w:p>
    <w:p w14:paraId="1C4B21E5"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Consultations should be agreed before publication </w:t>
      </w:r>
    </w:p>
    <w:p w14:paraId="09601B99"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Seek collective agreement before publishing a written consultation, particularly when consulting on new policy proposals.</w:t>
      </w:r>
    </w:p>
    <w:p w14:paraId="25885296" w14:textId="77777777" w:rsidR="008758C4" w:rsidRPr="00A749FE" w:rsidRDefault="008758C4" w:rsidP="00CE6267">
      <w:pPr>
        <w:spacing w:after="0"/>
        <w:jc w:val="both"/>
        <w:rPr>
          <w:rFonts w:ascii="Times New Roman" w:hAnsi="Times New Roman" w:cs="Times New Roman"/>
          <w:sz w:val="24"/>
          <w:szCs w:val="24"/>
        </w:rPr>
      </w:pPr>
    </w:p>
    <w:p w14:paraId="470F620C"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Consultation should facilitate scrutiny </w:t>
      </w:r>
    </w:p>
    <w:p w14:paraId="3431394E" w14:textId="77777777" w:rsidR="004B194D"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Publish any response on the same page online as the original consultation. Explain the responses that have been received and how these have informed the policy. State how many responses have been received. </w:t>
      </w:r>
    </w:p>
    <w:p w14:paraId="79D510FE" w14:textId="77777777" w:rsidR="008758C4" w:rsidRPr="00A749FE" w:rsidRDefault="008758C4" w:rsidP="00CE6267">
      <w:pPr>
        <w:spacing w:after="0"/>
        <w:jc w:val="both"/>
        <w:rPr>
          <w:rFonts w:ascii="Times New Roman" w:hAnsi="Times New Roman" w:cs="Times New Roman"/>
          <w:sz w:val="24"/>
          <w:szCs w:val="24"/>
        </w:rPr>
      </w:pPr>
    </w:p>
    <w:p w14:paraId="5F704218" w14:textId="77777777" w:rsidR="004B194D" w:rsidRPr="00A749FE" w:rsidRDefault="004B194D" w:rsidP="003449F9">
      <w:pPr>
        <w:pStyle w:val="ListParagraph"/>
        <w:numPr>
          <w:ilvl w:val="0"/>
          <w:numId w:val="16"/>
        </w:numPr>
        <w:spacing w:after="0"/>
        <w:jc w:val="both"/>
        <w:rPr>
          <w:rFonts w:ascii="Times New Roman" w:hAnsi="Times New Roman" w:cs="Times New Roman"/>
          <w:i/>
          <w:sz w:val="24"/>
          <w:szCs w:val="24"/>
        </w:rPr>
      </w:pPr>
      <w:r w:rsidRPr="00A749FE">
        <w:rPr>
          <w:rFonts w:ascii="Times New Roman" w:hAnsi="Times New Roman" w:cs="Times New Roman"/>
          <w:i/>
          <w:sz w:val="24"/>
          <w:szCs w:val="24"/>
        </w:rPr>
        <w:t xml:space="preserve">Responses to consultations should be published in a timely fashion </w:t>
      </w:r>
    </w:p>
    <w:p w14:paraId="70A48DF9" w14:textId="77777777" w:rsidR="004B194D" w:rsidRPr="00A749FE"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Publish responses within 12 weeks of the consultation or provide an explanation why this is not possible. Allow appropriate time between closing the consultation and implementing policy or legislation. </w:t>
      </w:r>
    </w:p>
    <w:p w14:paraId="51BEDBE5" w14:textId="77777777" w:rsidR="00A749FE" w:rsidRDefault="00A749FE" w:rsidP="00CE6267">
      <w:pPr>
        <w:spacing w:after="0"/>
        <w:jc w:val="both"/>
        <w:rPr>
          <w:rFonts w:ascii="Times New Roman" w:hAnsi="Times New Roman" w:cs="Times New Roman"/>
          <w:i/>
          <w:sz w:val="24"/>
          <w:szCs w:val="24"/>
        </w:rPr>
      </w:pPr>
    </w:p>
    <w:p w14:paraId="6BF3286A" w14:textId="77777777" w:rsidR="00686D8B" w:rsidRDefault="003677FF" w:rsidP="00CE6267">
      <w:pPr>
        <w:spacing w:after="0"/>
        <w:jc w:val="both"/>
        <w:rPr>
          <w:rFonts w:ascii="Times New Roman" w:hAnsi="Times New Roman" w:cs="Times New Roman"/>
          <w:sz w:val="24"/>
          <w:szCs w:val="24"/>
        </w:rPr>
      </w:pPr>
      <w:r w:rsidRPr="000D2D56">
        <w:rPr>
          <w:rFonts w:ascii="Times New Roman" w:hAnsi="Times New Roman" w:cs="Times New Roman"/>
          <w:sz w:val="24"/>
          <w:szCs w:val="24"/>
        </w:rPr>
        <w:t xml:space="preserve">Few Member States have detailed the consultation process </w:t>
      </w:r>
      <w:r w:rsidR="00686D8B" w:rsidRPr="000D2D56">
        <w:rPr>
          <w:rFonts w:ascii="Times New Roman" w:hAnsi="Times New Roman" w:cs="Times New Roman"/>
          <w:sz w:val="24"/>
          <w:szCs w:val="24"/>
        </w:rPr>
        <w:t>for</w:t>
      </w:r>
      <w:r w:rsidRPr="000D2D56">
        <w:rPr>
          <w:rFonts w:ascii="Times New Roman" w:hAnsi="Times New Roman" w:cs="Times New Roman"/>
          <w:sz w:val="24"/>
          <w:szCs w:val="24"/>
        </w:rPr>
        <w:t xml:space="preserve"> their 2014 and 2017 LTRS.</w:t>
      </w:r>
      <w:r>
        <w:rPr>
          <w:rFonts w:ascii="Times New Roman" w:hAnsi="Times New Roman" w:cs="Times New Roman"/>
          <w:sz w:val="24"/>
          <w:szCs w:val="24"/>
        </w:rPr>
        <w:t xml:space="preserve"> However, </w:t>
      </w:r>
      <w:r w:rsidR="004B194D" w:rsidRPr="00A749FE">
        <w:rPr>
          <w:rFonts w:ascii="Times New Roman" w:hAnsi="Times New Roman" w:cs="Times New Roman"/>
          <w:sz w:val="24"/>
          <w:szCs w:val="24"/>
        </w:rPr>
        <w:t>Finland provides good practice</w:t>
      </w:r>
      <w:r w:rsidR="004B194D" w:rsidRPr="00A749FE">
        <w:rPr>
          <w:rFonts w:ascii="Times New Roman" w:hAnsi="Times New Roman" w:cs="Times New Roman"/>
          <w:sz w:val="24"/>
          <w:szCs w:val="24"/>
          <w:vertAlign w:val="superscript"/>
        </w:rPr>
        <w:footnoteReference w:id="48"/>
      </w:r>
      <w:r w:rsidR="004B194D" w:rsidRPr="00A749FE">
        <w:rPr>
          <w:rFonts w:ascii="Times New Roman" w:hAnsi="Times New Roman" w:cs="Times New Roman"/>
          <w:sz w:val="24"/>
          <w:szCs w:val="24"/>
        </w:rPr>
        <w:t xml:space="preserve"> of early involvement of relevant actors also to increase acceptance of jointly developed measures. </w:t>
      </w:r>
    </w:p>
    <w:p w14:paraId="7DF9CB91" w14:textId="77777777" w:rsidR="008758C4" w:rsidRDefault="008758C4" w:rsidP="00CE6267">
      <w:pPr>
        <w:spacing w:after="0"/>
        <w:jc w:val="both"/>
        <w:rPr>
          <w:rFonts w:ascii="Times New Roman" w:hAnsi="Times New Roman" w:cs="Times New Roman"/>
          <w:sz w:val="24"/>
          <w:szCs w:val="24"/>
        </w:rPr>
      </w:pPr>
    </w:p>
    <w:p w14:paraId="58F8A414" w14:textId="77777777" w:rsidR="00686D8B"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 xml:space="preserve">As the Finnish National Building Codes are developed, professionals and major organisations in the field are consulted and take an active part in the work, through preliminary studies and consultation forums. The proposals for national definitions and guidelines for NZEBs are being developed with active involvement of professional organisations from the construction industry, the building design and planning fields. </w:t>
      </w:r>
    </w:p>
    <w:p w14:paraId="73037E12" w14:textId="77777777" w:rsidR="008758C4" w:rsidRDefault="008758C4" w:rsidP="00CE6267">
      <w:pPr>
        <w:spacing w:after="0"/>
        <w:jc w:val="both"/>
        <w:rPr>
          <w:rFonts w:ascii="Times New Roman" w:hAnsi="Times New Roman" w:cs="Times New Roman"/>
          <w:sz w:val="24"/>
          <w:szCs w:val="24"/>
        </w:rPr>
      </w:pPr>
    </w:p>
    <w:p w14:paraId="2D28FF73" w14:textId="55BB7186" w:rsidR="004B194D" w:rsidRPr="00A749FE" w:rsidRDefault="004B194D" w:rsidP="00CE6267">
      <w:pPr>
        <w:spacing w:after="0"/>
        <w:jc w:val="both"/>
        <w:rPr>
          <w:rFonts w:ascii="Times New Roman" w:hAnsi="Times New Roman" w:cs="Times New Roman"/>
          <w:sz w:val="24"/>
          <w:szCs w:val="24"/>
        </w:rPr>
      </w:pPr>
      <w:r w:rsidRPr="00A749FE">
        <w:rPr>
          <w:rFonts w:ascii="Times New Roman" w:hAnsi="Times New Roman" w:cs="Times New Roman"/>
          <w:sz w:val="24"/>
          <w:szCs w:val="24"/>
        </w:rPr>
        <w:t>The involvement of professionals is also visible in the implementation of EPCs. Organisations in the building ownership as well as the building maintenance sectors are involved in both developing the national transposition and disseminating EPCs. Cooperation with the building and construction sectors and active involvement of field professionals has ensured that there is a high degree of compliance with the legislation – laws, decrees and building codes.</w:t>
      </w:r>
    </w:p>
    <w:sectPr w:rsidR="004B194D" w:rsidRPr="00A749F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REHVA" w:date="2018-10-10T11:35:00Z" w:initials="AD">
    <w:p w14:paraId="4D2096EE" w14:textId="35AFC0A3" w:rsidR="00CF3EC9" w:rsidRDefault="00CF3EC9">
      <w:pPr>
        <w:pStyle w:val="CommentText"/>
      </w:pPr>
      <w:r>
        <w:rPr>
          <w:rStyle w:val="CommentReference"/>
        </w:rPr>
        <w:annotationRef/>
      </w:r>
      <w:r>
        <w:t>It would beneficial for easy monitoring of progress if several depth levels of renovation would be defined. Then these could be further required by local regulation.</w:t>
      </w:r>
    </w:p>
  </w:comment>
  <w:comment w:id="8" w:author="REHVA" w:date="2018-10-10T11:36:00Z" w:initials="AD">
    <w:p w14:paraId="3F2C340C" w14:textId="21047C27" w:rsidR="00CF3EC9" w:rsidRDefault="00CF3EC9">
      <w:pPr>
        <w:pStyle w:val="CommentText"/>
      </w:pPr>
      <w:r>
        <w:rPr>
          <w:rStyle w:val="CommentReference"/>
        </w:rPr>
        <w:annotationRef/>
      </w:r>
      <w:r>
        <w:t>Subject to interpretation. Better to provide percentages of energy use reduction for each depth level. Otherwise, there might be a high variation from MS to MS and furthermore region to region in the same country.</w:t>
      </w:r>
    </w:p>
  </w:comment>
  <w:comment w:id="27" w:author="REHVA" w:date="2018-10-10T11:36:00Z" w:initials="AD">
    <w:p w14:paraId="1027B24F" w14:textId="61DAE1DB" w:rsidR="00CF3EC9" w:rsidRDefault="00CF3EC9">
      <w:pPr>
        <w:pStyle w:val="CommentText"/>
      </w:pPr>
      <w:r>
        <w:rPr>
          <w:rStyle w:val="CommentReference"/>
        </w:rPr>
        <w:annotationRef/>
      </w:r>
      <w:r>
        <w:t>Encourage MSs to pay forward the wider benefits (multiple benefits) beside energy savings.</w:t>
      </w:r>
    </w:p>
  </w:comment>
  <w:comment w:id="28" w:author="REHVA" w:date="2018-10-10T11:36:00Z" w:initials="AD">
    <w:p w14:paraId="13330FC8" w14:textId="0470CF32" w:rsidR="00CF3EC9" w:rsidRDefault="00CF3EC9" w:rsidP="00CF3EC9">
      <w:pPr>
        <w:pStyle w:val="CommentText"/>
      </w:pPr>
      <w:r>
        <w:rPr>
          <w:rStyle w:val="CommentReference"/>
        </w:rPr>
        <w:annotationRef/>
      </w:r>
      <w:r>
        <w:t xml:space="preserve">This is very specific and although insulation influences in a positive way mostly thermal comfort, TBSs are at least as </w:t>
      </w:r>
      <w:proofErr w:type="gramStart"/>
      <w:r>
        <w:t>relevant  as</w:t>
      </w:r>
      <w:proofErr w:type="gramEnd"/>
      <w:r>
        <w:t xml:space="preserve"> they are affecting several indoor environmental quality parameters (thermal comfort, indoor air quality, lighting quality, acoustical quality) with a direct impact on comfort levels and well-being of occupants.</w:t>
      </w:r>
    </w:p>
    <w:p w14:paraId="28F134A3" w14:textId="77777777" w:rsidR="00CF3EC9" w:rsidRDefault="00CF3EC9" w:rsidP="00CF3EC9">
      <w:pPr>
        <w:pStyle w:val="CommentText"/>
      </w:pPr>
      <w:r>
        <w:t>Such examples shall need balancing between passive measures and active measures facilitating higher comfort levels and well-being of occupants, thus further elaboration would be more accurate and aligned to reality. We could facilitate further elaboration as we have a more neutral position and are in contact with all the relevant industry groups in Brussels covering TBSs.</w:t>
      </w:r>
    </w:p>
    <w:p w14:paraId="1AB11154" w14:textId="487D27E8" w:rsidR="00CF3EC9" w:rsidRDefault="00CF3EC9" w:rsidP="00CF3EC9">
      <w:pPr>
        <w:pStyle w:val="CommentText"/>
      </w:pPr>
      <w:r>
        <w:t>Another viable approach, easier to achieve and that would be received with less criticism is just refraining from very specific examples and references. Having such specific examples can distort perception and mislead away from the full range of measures (which are always complementary to each other) that can be applied (different cost-benefit levels and payback periods – to be analysed separately for different building types and climatic zones)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2096EE" w15:done="0"/>
  <w15:commentEx w15:paraId="3F2C340C" w15:done="0"/>
  <w15:commentEx w15:paraId="1027B24F" w15:done="0"/>
  <w15:commentEx w15:paraId="1AB111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096EE" w16cid:durableId="1F686296"/>
  <w16cid:commentId w16cid:paraId="3F2C340C" w16cid:durableId="1F6862A9"/>
  <w16cid:commentId w16cid:paraId="1027B24F" w16cid:durableId="1F6862BF"/>
  <w16cid:commentId w16cid:paraId="1AB11154" w16cid:durableId="1F6862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4FD" w14:textId="77777777" w:rsidR="007E19DC" w:rsidRDefault="007E19DC" w:rsidP="004D76F9">
      <w:pPr>
        <w:spacing w:after="0" w:line="240" w:lineRule="auto"/>
      </w:pPr>
      <w:r>
        <w:separator/>
      </w:r>
    </w:p>
  </w:endnote>
  <w:endnote w:type="continuationSeparator" w:id="0">
    <w:p w14:paraId="2E15CC79" w14:textId="77777777" w:rsidR="007E19DC" w:rsidRDefault="007E19DC" w:rsidP="004D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0D25" w14:textId="77777777" w:rsidR="001C4312" w:rsidRDefault="001C4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49203"/>
      <w:docPartObj>
        <w:docPartGallery w:val="Page Numbers (Bottom of Page)"/>
        <w:docPartUnique/>
      </w:docPartObj>
    </w:sdtPr>
    <w:sdtEndPr>
      <w:rPr>
        <w:noProof/>
      </w:rPr>
    </w:sdtEndPr>
    <w:sdtContent>
      <w:p w14:paraId="15868C10" w14:textId="1285F0AA" w:rsidR="001C4312" w:rsidRDefault="001C43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B80E2A" w14:textId="77777777" w:rsidR="001C4312" w:rsidRDefault="001C4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A49F" w14:textId="77777777" w:rsidR="001C4312" w:rsidRDefault="001C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4D4C" w14:textId="77777777" w:rsidR="007E19DC" w:rsidRDefault="007E19DC" w:rsidP="004D76F9">
      <w:pPr>
        <w:spacing w:after="0" w:line="240" w:lineRule="auto"/>
      </w:pPr>
      <w:r>
        <w:separator/>
      </w:r>
    </w:p>
  </w:footnote>
  <w:footnote w:type="continuationSeparator" w:id="0">
    <w:p w14:paraId="2F10938B" w14:textId="77777777" w:rsidR="007E19DC" w:rsidRDefault="007E19DC" w:rsidP="004D76F9">
      <w:pPr>
        <w:spacing w:after="0" w:line="240" w:lineRule="auto"/>
      </w:pPr>
      <w:r>
        <w:continuationSeparator/>
      </w:r>
    </w:p>
  </w:footnote>
  <w:footnote w:id="1">
    <w:p w14:paraId="321CE0B6" w14:textId="77777777" w:rsidR="001C4312" w:rsidRPr="00B879D5" w:rsidRDefault="001C4312" w:rsidP="00EF1757">
      <w:pPr>
        <w:pStyle w:val="FootnoteText"/>
        <w:jc w:val="both"/>
        <w:rPr>
          <w:rFonts w:ascii="Times New Roman" w:hAnsi="Times New Roman" w:cs="Times New Roman"/>
          <w:lang w:val="en-US"/>
        </w:rPr>
      </w:pPr>
      <w:r w:rsidRPr="00B879D5">
        <w:rPr>
          <w:rStyle w:val="FootnoteReference"/>
          <w:rFonts w:ascii="Times New Roman" w:hAnsi="Times New Roman" w:cs="Times New Roman"/>
        </w:rPr>
        <w:footnoteRef/>
      </w:r>
      <w:r w:rsidRPr="00B879D5">
        <w:rPr>
          <w:rFonts w:ascii="Times New Roman" w:hAnsi="Times New Roman" w:cs="Times New Roman"/>
        </w:rPr>
        <w:t xml:space="preserve"> Directive (EU) 2018/844 of 30 May 2018 amending Directive 2010/31/EU on the energy performance of buildings and Directive 2012/27/EU on energy efficiency.</w:t>
      </w:r>
    </w:p>
  </w:footnote>
  <w:footnote w:id="2">
    <w:p w14:paraId="0117FBBE" w14:textId="77777777" w:rsidR="001C4312" w:rsidRPr="00B879D5" w:rsidRDefault="001C4312" w:rsidP="00307C2B">
      <w:pPr>
        <w:pStyle w:val="FootnoteText"/>
        <w:jc w:val="both"/>
        <w:rPr>
          <w:rFonts w:ascii="Times New Roman" w:hAnsi="Times New Roman" w:cs="Times New Roman"/>
        </w:rPr>
      </w:pPr>
      <w:r w:rsidRPr="00B879D5">
        <w:rPr>
          <w:rStyle w:val="FootnoteReference"/>
          <w:rFonts w:ascii="Times New Roman" w:hAnsi="Times New Roman" w:cs="Times New Roman"/>
        </w:rPr>
        <w:footnoteRef/>
      </w:r>
      <w:r w:rsidRPr="00B879D5">
        <w:rPr>
          <w:rFonts w:ascii="Times New Roman" w:hAnsi="Times New Roman" w:cs="Times New Roman"/>
        </w:rPr>
        <w:t xml:space="preserve"> Directive 2010/31/EU of the European Parliament and of the Council of 19 May 2010 on the energy performance of buildings.  </w:t>
      </w:r>
    </w:p>
  </w:footnote>
  <w:footnote w:id="3">
    <w:p w14:paraId="4E0ED92D" w14:textId="77777777" w:rsidR="001C4312" w:rsidRPr="00C5459E" w:rsidRDefault="001C4312" w:rsidP="005A2EDF">
      <w:pPr>
        <w:pStyle w:val="FootnoteText"/>
        <w:jc w:val="both"/>
      </w:pPr>
      <w:r w:rsidRPr="00B879D5">
        <w:rPr>
          <w:rStyle w:val="FootnoteReference"/>
          <w:rFonts w:ascii="Times New Roman" w:hAnsi="Times New Roman" w:cs="Times New Roman"/>
        </w:rPr>
        <w:footnoteRef/>
      </w:r>
      <w:r w:rsidRPr="00B879D5">
        <w:rPr>
          <w:rFonts w:ascii="Times New Roman" w:hAnsi="Times New Roman" w:cs="Times New Roman"/>
        </w:rPr>
        <w:t xml:space="preserve"> Directive 2012/27/EU of the European Parliament and of the Council of </w:t>
      </w:r>
      <w:proofErr w:type="spellStart"/>
      <w:r w:rsidRPr="00B879D5">
        <w:rPr>
          <w:rFonts w:ascii="Times New Roman" w:hAnsi="Times New Roman" w:cs="Times New Roman"/>
        </w:rPr>
        <w:t>of</w:t>
      </w:r>
      <w:proofErr w:type="spellEnd"/>
      <w:r w:rsidRPr="00B879D5">
        <w:rPr>
          <w:rFonts w:ascii="Times New Roman" w:hAnsi="Times New Roman" w:cs="Times New Roman"/>
        </w:rPr>
        <w:t xml:space="preserve"> 25 October 2012 on energy efficiency, amending Directives 2009/125/EC and 2010/30/EU and repealing Directives 2004/8/EC and 2006/32/EC.</w:t>
      </w:r>
    </w:p>
  </w:footnote>
  <w:footnote w:id="4">
    <w:p w14:paraId="021BA5C6" w14:textId="7D380B47" w:rsidR="001C4312" w:rsidRPr="00100002" w:rsidRDefault="001C4312" w:rsidP="001F47EA">
      <w:pPr>
        <w:pStyle w:val="FootnoteText"/>
        <w:jc w:val="both"/>
        <w:rPr>
          <w:rFonts w:ascii="Times New Roman" w:hAnsi="Times New Roman" w:cs="Times New Roman"/>
        </w:rPr>
      </w:pPr>
      <w:r w:rsidRPr="00A6121B">
        <w:rPr>
          <w:rStyle w:val="FootnoteReference"/>
          <w:rFonts w:ascii="Times New Roman" w:hAnsi="Times New Roman" w:cs="Times New Roman"/>
        </w:rPr>
        <w:footnoteRef/>
      </w:r>
      <w:r w:rsidRPr="00A6121B">
        <w:rPr>
          <w:rFonts w:ascii="Times New Roman" w:hAnsi="Times New Roman" w:cs="Times New Roman"/>
        </w:rPr>
        <w:t xml:space="preserve"> </w:t>
      </w:r>
      <w:r w:rsidRPr="009F724D">
        <w:rPr>
          <w:rFonts w:ascii="Times New Roman" w:hAnsi="Times New Roman" w:cs="Times New Roman"/>
        </w:rPr>
        <w:t>The following renovation depths, have been develope</w:t>
      </w:r>
      <w:r w:rsidRPr="00621083">
        <w:rPr>
          <w:rFonts w:ascii="Times New Roman" w:hAnsi="Times New Roman" w:cs="Times New Roman"/>
        </w:rPr>
        <w:t>d in the context of the EU Building Stock Observatory, based on primary energy savings</w:t>
      </w:r>
      <w:r w:rsidRPr="00864223">
        <w:rPr>
          <w:rFonts w:ascii="Times New Roman" w:hAnsi="Times New Roman" w:cs="Times New Roman"/>
        </w:rPr>
        <w:t>:</w:t>
      </w:r>
      <w:r>
        <w:rPr>
          <w:rFonts w:ascii="Times New Roman" w:hAnsi="Times New Roman" w:cs="Times New Roman"/>
        </w:rPr>
        <w:t xml:space="preserve"> </w:t>
      </w:r>
      <w:r w:rsidRPr="00EA4CB5">
        <w:rPr>
          <w:rFonts w:ascii="Times New Roman" w:hAnsi="Times New Roman" w:cs="Times New Roman"/>
        </w:rPr>
        <w:t>light renovations (</w:t>
      </w:r>
      <w:r w:rsidRPr="0070401D">
        <w:rPr>
          <w:rFonts w:ascii="Times New Roman" w:hAnsi="Times New Roman" w:cs="Times New Roman"/>
        </w:rPr>
        <w:t>less than 30%)</w:t>
      </w:r>
      <w:r>
        <w:rPr>
          <w:rFonts w:ascii="Times New Roman" w:hAnsi="Times New Roman" w:cs="Times New Roman"/>
        </w:rPr>
        <w:t xml:space="preserve">; </w:t>
      </w:r>
      <w:r w:rsidRPr="009F724D">
        <w:rPr>
          <w:rFonts w:ascii="Times New Roman" w:hAnsi="Times New Roman" w:cs="Times New Roman"/>
        </w:rPr>
        <w:t>medium renovations (between 30% and 60%)</w:t>
      </w:r>
      <w:r>
        <w:rPr>
          <w:rFonts w:ascii="Times New Roman" w:hAnsi="Times New Roman" w:cs="Times New Roman"/>
        </w:rPr>
        <w:t xml:space="preserve">; </w:t>
      </w:r>
      <w:r w:rsidRPr="009F724D">
        <w:rPr>
          <w:rFonts w:ascii="Times New Roman" w:hAnsi="Times New Roman" w:cs="Times New Roman"/>
        </w:rPr>
        <w:t>deep renovations (beyond 60%)</w:t>
      </w:r>
      <w:r>
        <w:rPr>
          <w:rFonts w:ascii="Times New Roman" w:hAnsi="Times New Roman" w:cs="Times New Roman"/>
        </w:rPr>
        <w:t xml:space="preserve">. </w:t>
      </w:r>
      <w:r w:rsidRPr="00A6121B">
        <w:rPr>
          <w:rFonts w:ascii="Times New Roman" w:hAnsi="Times New Roman" w:cs="Times New Roman"/>
        </w:rPr>
        <w:t xml:space="preserve">NZEB renovations are not defined </w:t>
      </w:r>
      <w:r>
        <w:rPr>
          <w:rFonts w:ascii="Times New Roman" w:hAnsi="Times New Roman" w:cs="Times New Roman"/>
        </w:rPr>
        <w:t>in terms of</w:t>
      </w:r>
      <w:r w:rsidRPr="00A6121B">
        <w:rPr>
          <w:rFonts w:ascii="Times New Roman" w:hAnsi="Times New Roman" w:cs="Times New Roman"/>
        </w:rPr>
        <w:t xml:space="preserve"> a specific primary energy saving threshold, but according to official nationa</w:t>
      </w:r>
      <w:r>
        <w:rPr>
          <w:rFonts w:ascii="Times New Roman" w:hAnsi="Times New Roman" w:cs="Times New Roman"/>
        </w:rPr>
        <w:t xml:space="preserve">l NZEB renovation definitions. </w:t>
      </w:r>
    </w:p>
  </w:footnote>
  <w:footnote w:id="5">
    <w:p w14:paraId="270A1922" w14:textId="272CD5A1" w:rsidR="001C4312" w:rsidRPr="002C62B2" w:rsidRDefault="001C4312" w:rsidP="006D2780">
      <w:pPr>
        <w:pStyle w:val="FootnoteText"/>
        <w:jc w:val="both"/>
      </w:pPr>
      <w:r>
        <w:rPr>
          <w:rStyle w:val="FootnoteReference"/>
        </w:rPr>
        <w:footnoteRef/>
      </w:r>
      <w:r>
        <w:t xml:space="preserve"> </w:t>
      </w:r>
      <w:r w:rsidRPr="002C62B2">
        <w:rPr>
          <w:rFonts w:ascii="Times New Roman" w:hAnsi="Times New Roman" w:cs="Times New Roman"/>
        </w:rPr>
        <w:t>Recital 9 of Directive (EU) 2018/</w:t>
      </w:r>
      <w:proofErr w:type="gramStart"/>
      <w:r w:rsidRPr="002C62B2">
        <w:rPr>
          <w:rFonts w:ascii="Times New Roman" w:hAnsi="Times New Roman" w:cs="Times New Roman"/>
        </w:rPr>
        <w:t>844  encourages</w:t>
      </w:r>
      <w:proofErr w:type="gramEnd"/>
      <w:r w:rsidRPr="002C62B2">
        <w:rPr>
          <w:rFonts w:ascii="Times New Roman" w:hAnsi="Times New Roman" w:cs="Times New Roman"/>
        </w:rPr>
        <w:t xml:space="preserve"> Member States to consider introducing or continuing to apply requirements for a certain level of energy performance for rental properties, in accordance with Energy Performance Certificates (EPCs). This type of measure, which would go beyond the requirements of the revised EPBD, would introduce a requirement to renovate worst performing buildings before they are rented.</w:t>
      </w:r>
    </w:p>
  </w:footnote>
  <w:footnote w:id="6">
    <w:p w14:paraId="6F6B3417" w14:textId="77777777" w:rsidR="001C4312" w:rsidRPr="00100002" w:rsidRDefault="001C4312" w:rsidP="00100002">
      <w:pPr>
        <w:pStyle w:val="FootnoteText"/>
        <w:jc w:val="both"/>
        <w:rPr>
          <w:rFonts w:ascii="Times New Roman" w:hAnsi="Times New Roman" w:cs="Times New Roman"/>
        </w:rPr>
      </w:pPr>
      <w:r w:rsidRPr="00100002">
        <w:rPr>
          <w:rStyle w:val="FootnoteReference"/>
          <w:rFonts w:ascii="Times New Roman" w:hAnsi="Times New Roman" w:cs="Times New Roman"/>
        </w:rPr>
        <w:footnoteRef/>
      </w:r>
      <w:r w:rsidRPr="00100002">
        <w:rPr>
          <w:rFonts w:ascii="Times New Roman" w:hAnsi="Times New Roman" w:cs="Times New Roman"/>
        </w:rPr>
        <w:t xml:space="preserve"> </w:t>
      </w:r>
      <w:r>
        <w:rPr>
          <w:rFonts w:ascii="Times New Roman" w:hAnsi="Times New Roman" w:cs="Times New Roman"/>
        </w:rPr>
        <w:t>Member States could explore the</w:t>
      </w:r>
      <w:r w:rsidRPr="00100002">
        <w:rPr>
          <w:rFonts w:ascii="Times New Roman" w:hAnsi="Times New Roman" w:cs="Times New Roman"/>
        </w:rPr>
        <w:t xml:space="preserve"> possibility of </w:t>
      </w:r>
      <w:r>
        <w:rPr>
          <w:rFonts w:ascii="Times New Roman" w:hAnsi="Times New Roman" w:cs="Times New Roman"/>
        </w:rPr>
        <w:t>incentivising insurance companies</w:t>
      </w:r>
      <w:r w:rsidRPr="00533C46">
        <w:rPr>
          <w:rFonts w:ascii="Times New Roman" w:hAnsi="Times New Roman" w:cs="Times New Roman"/>
        </w:rPr>
        <w:t xml:space="preserve"> to inform clients of financing</w:t>
      </w:r>
      <w:r>
        <w:rPr>
          <w:rFonts w:ascii="Times New Roman" w:hAnsi="Times New Roman" w:cs="Times New Roman"/>
        </w:rPr>
        <w:t xml:space="preserve"> instruments available in the Member State </w:t>
      </w:r>
      <w:r w:rsidRPr="00100002">
        <w:rPr>
          <w:rFonts w:ascii="Times New Roman" w:hAnsi="Times New Roman" w:cs="Times New Roman"/>
        </w:rPr>
        <w:t>(thereby also reducing their costs following a natural disaster</w:t>
      </w:r>
      <w:r>
        <w:rPr>
          <w:rFonts w:ascii="Times New Roman" w:hAnsi="Times New Roman" w:cs="Times New Roman"/>
        </w:rPr>
        <w:t>/accident</w:t>
      </w:r>
      <w:r w:rsidRPr="00100002">
        <w:rPr>
          <w:rFonts w:ascii="Times New Roman" w:hAnsi="Times New Roman" w:cs="Times New Roman"/>
        </w:rPr>
        <w:t>).</w:t>
      </w:r>
    </w:p>
  </w:footnote>
  <w:footnote w:id="7">
    <w:p w14:paraId="4C08D46F" w14:textId="77777777" w:rsidR="001C4312" w:rsidRPr="005F10DA" w:rsidRDefault="001C4312">
      <w:pPr>
        <w:pStyle w:val="FootnoteText"/>
        <w:rPr>
          <w:rFonts w:ascii="Times New Roman" w:hAnsi="Times New Roman" w:cs="Times New Roman"/>
        </w:rPr>
      </w:pPr>
      <w:r w:rsidRPr="0035039A">
        <w:rPr>
          <w:rStyle w:val="FootnoteReference"/>
          <w:rFonts w:ascii="Times New Roman" w:hAnsi="Times New Roman" w:cs="Times New Roman"/>
        </w:rPr>
        <w:footnoteRef/>
      </w:r>
      <w:r w:rsidRPr="0035039A">
        <w:rPr>
          <w:rFonts w:ascii="Times New Roman" w:hAnsi="Times New Roman" w:cs="Times New Roman"/>
        </w:rPr>
        <w:t xml:space="preserve"> Recital 16 of the EED</w:t>
      </w:r>
    </w:p>
  </w:footnote>
  <w:footnote w:id="8">
    <w:p w14:paraId="3A24CB9A" w14:textId="4EA2F47F" w:rsidR="001C4312" w:rsidRPr="00B42586" w:rsidRDefault="001C4312" w:rsidP="00260B7A">
      <w:pPr>
        <w:pStyle w:val="FootnoteText"/>
        <w:jc w:val="both"/>
        <w:rPr>
          <w:rFonts w:ascii="Times New Roman" w:hAnsi="Times New Roman" w:cs="Times New Roman"/>
          <w:lang w:val="en-US"/>
        </w:rPr>
      </w:pPr>
      <w:r w:rsidRPr="0006427B">
        <w:rPr>
          <w:rStyle w:val="FootnoteReference"/>
          <w:rFonts w:ascii="Times New Roman" w:hAnsi="Times New Roman" w:cs="Times New Roman"/>
        </w:rPr>
        <w:footnoteRef/>
      </w:r>
      <w:r>
        <w:rPr>
          <w:rFonts w:ascii="Times New Roman" w:hAnsi="Times New Roman" w:cs="Times New Roman"/>
        </w:rPr>
        <w:t xml:space="preserve"> </w:t>
      </w:r>
      <w:r w:rsidRPr="0006427B">
        <w:rPr>
          <w:rFonts w:ascii="Times New Roman" w:hAnsi="Times New Roman" w:cs="Times New Roman"/>
        </w:rPr>
        <w:t>Commission Staff Working Document (</w:t>
      </w:r>
      <w:proofErr w:type="gramStart"/>
      <w:r w:rsidRPr="0006427B">
        <w:rPr>
          <w:rFonts w:ascii="Times New Roman" w:hAnsi="Times New Roman" w:cs="Times New Roman"/>
        </w:rPr>
        <w:t>SWD(</w:t>
      </w:r>
      <w:proofErr w:type="gramEnd"/>
      <w:r w:rsidRPr="0006427B">
        <w:rPr>
          <w:rFonts w:ascii="Times New Roman" w:hAnsi="Times New Roman" w:cs="Times New Roman"/>
        </w:rPr>
        <w:t xml:space="preserve">2013) 143 final) accompanying </w:t>
      </w:r>
      <w:r>
        <w:rPr>
          <w:rFonts w:ascii="Times New Roman" w:hAnsi="Times New Roman" w:cs="Times New Roman"/>
        </w:rPr>
        <w:t xml:space="preserve">the </w:t>
      </w:r>
      <w:r w:rsidRPr="0006427B">
        <w:rPr>
          <w:rFonts w:ascii="Times New Roman" w:hAnsi="Times New Roman" w:cs="Times New Roman"/>
        </w:rPr>
        <w:t xml:space="preserve">report from the Commission to the </w:t>
      </w:r>
      <w:r w:rsidRPr="00B42586">
        <w:rPr>
          <w:rFonts w:ascii="Times New Roman" w:hAnsi="Times New Roman" w:cs="Times New Roman"/>
        </w:rPr>
        <w:t>European Parliament on "Financial support for energy efficiency in building</w:t>
      </w:r>
      <w:r w:rsidRPr="00F06B47">
        <w:rPr>
          <w:rFonts w:ascii="Times New Roman" w:hAnsi="Times New Roman" w:cs="Times New Roman"/>
        </w:rPr>
        <w:t>s"</w:t>
      </w:r>
      <w:r w:rsidRPr="00045B73">
        <w:rPr>
          <w:rFonts w:ascii="Times New Roman" w:hAnsi="Times New Roman" w:cs="Times New Roman"/>
        </w:rPr>
        <w:t xml:space="preserve"> COM</w:t>
      </w:r>
      <w:r w:rsidRPr="00B42586">
        <w:rPr>
          <w:rFonts w:ascii="Times New Roman" w:hAnsi="Times New Roman" w:cs="Times New Roman"/>
        </w:rPr>
        <w:t xml:space="preserve">(2013)225 final. </w:t>
      </w:r>
    </w:p>
  </w:footnote>
  <w:footnote w:id="9">
    <w:p w14:paraId="30A39D33" w14:textId="77777777" w:rsidR="001C4312" w:rsidRPr="00FF4EC9" w:rsidRDefault="001C4312">
      <w:pPr>
        <w:pStyle w:val="FootnoteText"/>
        <w:rPr>
          <w:rFonts w:ascii="Times New Roman" w:hAnsi="Times New Roman" w:cs="Times New Roman"/>
        </w:rPr>
      </w:pPr>
      <w:r w:rsidRPr="00FF4EC9">
        <w:rPr>
          <w:rStyle w:val="FootnoteReference"/>
          <w:rFonts w:ascii="Times New Roman" w:hAnsi="Times New Roman" w:cs="Times New Roman"/>
        </w:rPr>
        <w:footnoteRef/>
      </w:r>
      <w:r w:rsidRPr="00FF4EC9">
        <w:rPr>
          <w:rFonts w:ascii="Times New Roman" w:hAnsi="Times New Roman" w:cs="Times New Roman"/>
        </w:rPr>
        <w:t xml:space="preserve"> See 2016 report from Buildings Performance Institute Europe - </w:t>
      </w:r>
      <w:hyperlink r:id="rId1" w:history="1">
        <w:r w:rsidRPr="0069099C">
          <w:rPr>
            <w:rStyle w:val="Hyperlink"/>
            <w:rFonts w:ascii="Times New Roman" w:hAnsi="Times New Roman" w:cs="Times New Roman"/>
          </w:rPr>
          <w:t>http://bpie.eu/wp-content/uploads/2017/01/Building-Passport-Report_2nd-edition.pdf</w:t>
        </w:r>
      </w:hyperlink>
      <w:r>
        <w:rPr>
          <w:rFonts w:ascii="Times New Roman" w:hAnsi="Times New Roman" w:cs="Times New Roman"/>
        </w:rPr>
        <w:t xml:space="preserve"> </w:t>
      </w:r>
    </w:p>
  </w:footnote>
  <w:footnote w:id="10">
    <w:p w14:paraId="0FD28798" w14:textId="77777777" w:rsidR="001C4312" w:rsidRPr="002E7F4B" w:rsidRDefault="001C4312" w:rsidP="002E7F4B">
      <w:pPr>
        <w:pStyle w:val="FootnoteText"/>
        <w:jc w:val="both"/>
        <w:rPr>
          <w:lang w:val="en-US"/>
        </w:rPr>
      </w:pPr>
      <w:r w:rsidRPr="00FF4EC9">
        <w:rPr>
          <w:rStyle w:val="FootnoteReference"/>
          <w:rFonts w:ascii="Times New Roman" w:hAnsi="Times New Roman" w:cs="Times New Roman"/>
        </w:rPr>
        <w:footnoteRef/>
      </w:r>
      <w:r w:rsidRPr="00FF4EC9">
        <w:rPr>
          <w:rFonts w:ascii="Times New Roman" w:hAnsi="Times New Roman" w:cs="Times New Roman"/>
        </w:rPr>
        <w:t xml:space="preserve"> According to Article 19a of the revised EPBD, the Commission shall, before 2020, conclude a feasibility study, clarifying the possibilities and timeline to introduce an </w:t>
      </w:r>
      <w:r w:rsidRPr="00FF4EC9">
        <w:rPr>
          <w:rFonts w:ascii="Times New Roman" w:hAnsi="Times New Roman" w:cs="Times New Roman"/>
          <w:b/>
        </w:rPr>
        <w:t>optional</w:t>
      </w:r>
      <w:r w:rsidRPr="00FF4EC9">
        <w:rPr>
          <w:rFonts w:ascii="Times New Roman" w:hAnsi="Times New Roman" w:cs="Times New Roman"/>
        </w:rPr>
        <w:t xml:space="preserve"> building renovation passport that is complementary to the energy performance certificates, in order to provide a long-term, step-by-step renovation roadmap for a specific building based on quality cri</w:t>
      </w:r>
      <w:r w:rsidRPr="004D2DEB">
        <w:rPr>
          <w:rFonts w:ascii="Times New Roman" w:hAnsi="Times New Roman" w:cs="Times New Roman"/>
        </w:rPr>
        <w:t>teria, following an energy audit, and outlining relevant measures and renovations that could improve the energy performance. This study will provide an in-depth overview of existing building renovation passport schemes already in place.</w:t>
      </w:r>
    </w:p>
  </w:footnote>
  <w:footnote w:id="11">
    <w:p w14:paraId="53F46A50" w14:textId="2F3C689E" w:rsidR="001C4312" w:rsidRPr="00A556F9" w:rsidRDefault="001C4312" w:rsidP="003A2C1F">
      <w:pPr>
        <w:pStyle w:val="FootnoteText"/>
        <w:jc w:val="both"/>
        <w:rPr>
          <w:spacing w:val="-4"/>
          <w:lang w:val="en-US"/>
        </w:rPr>
      </w:pPr>
      <w:r>
        <w:rPr>
          <w:rStyle w:val="FootnoteReference"/>
        </w:rPr>
        <w:footnoteRef/>
      </w:r>
      <w:r>
        <w:t xml:space="preserve"> </w:t>
      </w:r>
      <w:r w:rsidRPr="00C171FA">
        <w:rPr>
          <w:rFonts w:ascii="Times New Roman" w:hAnsi="Times New Roman" w:cs="Times New Roman"/>
        </w:rPr>
        <w:t>Article 19 of the EED already requires Member States to "evaluate and if necessary take appropriate measures to remove regulatory and non-regulatory barriers to energy efficiency, without prejudice to the basic principles of the property and tenancy law of the Member States. In particular as regards the split of incentives between the owner and the tenant of a building or among owners, with a view to ensuring that these parties are not deterred from making efficiency- improving investments that they would otherwise have made by the fact that they will not individually obtain the full benefits or by the absence of rules for dividing the costs and benefits between them, including national rules and measures regulating decision-making processes in multi-owner properties</w:t>
      </w:r>
      <w:r>
        <w:rPr>
          <w:rFonts w:ascii="Times New Roman" w:hAnsi="Times New Roman" w:cs="Times New Roman"/>
        </w:rPr>
        <w:t>.</w:t>
      </w:r>
      <w:r w:rsidRPr="00C171FA">
        <w:rPr>
          <w:rFonts w:ascii="Times New Roman" w:hAnsi="Times New Roman" w:cs="Times New Roman"/>
        </w:rPr>
        <w:t>"</w:t>
      </w:r>
    </w:p>
  </w:footnote>
  <w:footnote w:id="12">
    <w:p w14:paraId="200C2B6E" w14:textId="5DE12AAF" w:rsidR="001C4312" w:rsidRPr="00097216" w:rsidRDefault="001C4312">
      <w:pPr>
        <w:pStyle w:val="FootnoteText"/>
      </w:pPr>
      <w:r>
        <w:rPr>
          <w:rStyle w:val="FootnoteReference"/>
        </w:rPr>
        <w:footnoteRef/>
      </w:r>
      <w:r>
        <w:t xml:space="preserve"> </w:t>
      </w:r>
      <w:hyperlink r:id="rId2" w:history="1">
        <w:r w:rsidRPr="00097216">
          <w:rPr>
            <w:rStyle w:val="Hyperlink"/>
            <w:rFonts w:ascii="Times New Roman" w:hAnsi="Times New Roman" w:cs="Times New Roman"/>
          </w:rPr>
          <w:t>https://ec.europa.eu/jrc/en/publication/eur-scientific-and-technical-research-reports/overcoming-split-incentive-barrier-building-sector</w:t>
        </w:r>
      </w:hyperlink>
      <w:r w:rsidRPr="00097216">
        <w:rPr>
          <w:rFonts w:ascii="Times New Roman" w:hAnsi="Times New Roman" w:cs="Times New Roman"/>
        </w:rPr>
        <w:t xml:space="preserve"> </w:t>
      </w:r>
    </w:p>
  </w:footnote>
  <w:footnote w:id="13">
    <w:p w14:paraId="7C680926" w14:textId="21B0DE04" w:rsidR="001C4312" w:rsidRPr="00B34880" w:rsidRDefault="001C4312" w:rsidP="00424530">
      <w:pPr>
        <w:pStyle w:val="FootnoteText"/>
        <w:jc w:val="both"/>
      </w:pPr>
      <w:r>
        <w:rPr>
          <w:rStyle w:val="FootnoteReference"/>
        </w:rPr>
        <w:footnoteRef/>
      </w:r>
      <w:r>
        <w:t xml:space="preserve"> </w:t>
      </w:r>
      <w:r w:rsidRPr="00424530">
        <w:rPr>
          <w:rFonts w:ascii="Times New Roman" w:hAnsi="Times New Roman" w:cs="Times New Roman"/>
        </w:rPr>
        <w:t xml:space="preserve">Recital 11 of </w:t>
      </w:r>
      <w:proofErr w:type="spellStart"/>
      <w:r w:rsidRPr="00424530">
        <w:rPr>
          <w:rFonts w:ascii="Times New Roman" w:hAnsi="Times New Roman" w:cs="Times New Roman"/>
        </w:rPr>
        <w:t>of</w:t>
      </w:r>
      <w:proofErr w:type="spellEnd"/>
      <w:r w:rsidRPr="00424530">
        <w:rPr>
          <w:rFonts w:ascii="Times New Roman" w:hAnsi="Times New Roman" w:cs="Times New Roman"/>
        </w:rPr>
        <w:t xml:space="preserve"> Directive (EU) 2018/844 explicitly mentions that "the need to alleviate energy poverty should be </w:t>
      </w:r>
      <w:proofErr w:type="gramStart"/>
      <w:r w:rsidRPr="00424530">
        <w:rPr>
          <w:rFonts w:ascii="Times New Roman" w:hAnsi="Times New Roman" w:cs="Times New Roman"/>
        </w:rPr>
        <w:t>taken into account</w:t>
      </w:r>
      <w:proofErr w:type="gramEnd"/>
      <w:r w:rsidRPr="00424530">
        <w:rPr>
          <w:rFonts w:ascii="Times New Roman" w:hAnsi="Times New Roman" w:cs="Times New Roman"/>
        </w:rPr>
        <w:t>, in accordance with criteria defined by the Member States. While outlining national actions that contribute to the alleviation of energy poverty in their renovation strategies, the Member States have the right to establish what they consider to be relevant actions."</w:t>
      </w:r>
    </w:p>
  </w:footnote>
  <w:footnote w:id="14">
    <w:p w14:paraId="7603C49E" w14:textId="1EE0E9AC" w:rsidR="001C4312" w:rsidRPr="002326A3" w:rsidRDefault="001C4312" w:rsidP="006C624C">
      <w:pPr>
        <w:pStyle w:val="FootnoteText"/>
        <w:jc w:val="both"/>
        <w:rPr>
          <w:rFonts w:ascii="Times New Roman" w:hAnsi="Times New Roman" w:cs="Times New Roman"/>
          <w:lang w:val="en-US"/>
        </w:rPr>
      </w:pPr>
      <w:r>
        <w:rPr>
          <w:rStyle w:val="FootnoteReference"/>
        </w:rPr>
        <w:footnoteRef/>
      </w:r>
      <w:r w:rsidRPr="00C61C2C">
        <w:rPr>
          <w:rFonts w:ascii="Times New Roman" w:hAnsi="Times New Roman" w:cs="Times New Roman"/>
        </w:rPr>
        <w:t xml:space="preserve"> Under Articles 5 and 6 of the EED, Member States already have existing obligations related to buildings owned and occupied by central government and to procurement </w:t>
      </w:r>
      <w:r>
        <w:rPr>
          <w:rFonts w:ascii="Times New Roman" w:hAnsi="Times New Roman" w:cs="Times New Roman"/>
        </w:rPr>
        <w:t xml:space="preserve">of buildings </w:t>
      </w:r>
      <w:r w:rsidRPr="002326A3">
        <w:rPr>
          <w:rFonts w:ascii="Times New Roman" w:hAnsi="Times New Roman" w:cs="Times New Roman"/>
        </w:rPr>
        <w:t>by central government.</w:t>
      </w:r>
    </w:p>
  </w:footnote>
  <w:footnote w:id="15">
    <w:p w14:paraId="3AF1A2A3" w14:textId="77777777" w:rsidR="001C4312" w:rsidRPr="00F903DD" w:rsidRDefault="001C4312" w:rsidP="00071CE8">
      <w:pPr>
        <w:pStyle w:val="FootnoteText"/>
        <w:rPr>
          <w:rFonts w:ascii="Times New Roman" w:hAnsi="Times New Roman" w:cs="Times New Roman"/>
        </w:rPr>
      </w:pPr>
      <w:r w:rsidRPr="00F903DD">
        <w:rPr>
          <w:rStyle w:val="FootnoteReference"/>
          <w:rFonts w:ascii="Times New Roman" w:hAnsi="Times New Roman" w:cs="Times New Roman"/>
        </w:rPr>
        <w:footnoteRef/>
      </w:r>
      <w:r w:rsidRPr="00F903DD">
        <w:rPr>
          <w:rFonts w:ascii="Times New Roman" w:hAnsi="Times New Roman" w:cs="Times New Roman"/>
        </w:rPr>
        <w:t xml:space="preserve"> </w:t>
      </w:r>
      <w:r w:rsidRPr="00EB3C06">
        <w:rPr>
          <w:rFonts w:ascii="Times New Roman" w:hAnsi="Times New Roman" w:cs="Times New Roman"/>
        </w:rPr>
        <w:t>Recital 16 of Directive (EU) 2018/844</w:t>
      </w:r>
    </w:p>
  </w:footnote>
  <w:footnote w:id="16">
    <w:p w14:paraId="272FD1E8" w14:textId="64706E23" w:rsidR="001C4312" w:rsidRPr="00F903DD" w:rsidRDefault="001C4312" w:rsidP="00F903DD">
      <w:pPr>
        <w:pStyle w:val="FootnoteText"/>
        <w:jc w:val="both"/>
        <w:rPr>
          <w:lang w:val="en-US"/>
        </w:rPr>
      </w:pPr>
      <w:r w:rsidRPr="00F903DD">
        <w:rPr>
          <w:rStyle w:val="FootnoteReference"/>
          <w:rFonts w:ascii="Times New Roman" w:hAnsi="Times New Roman" w:cs="Times New Roman"/>
        </w:rPr>
        <w:footnoteRef/>
      </w:r>
      <w:r w:rsidRPr="00F903DD">
        <w:rPr>
          <w:rFonts w:ascii="Times New Roman" w:hAnsi="Times New Roman" w:cs="Times New Roman"/>
        </w:rPr>
        <w:t xml:space="preserve"> In May 2018, Eurostat </w:t>
      </w:r>
      <w:r>
        <w:rPr>
          <w:rFonts w:ascii="Times New Roman" w:hAnsi="Times New Roman" w:cs="Times New Roman"/>
        </w:rPr>
        <w:t>and</w:t>
      </w:r>
      <w:r w:rsidRPr="00F903DD">
        <w:rPr>
          <w:rFonts w:ascii="Times New Roman" w:hAnsi="Times New Roman" w:cs="Times New Roman"/>
        </w:rPr>
        <w:t xml:space="preserve"> the European Investment Bank launched their new practitioners’ guide on the statistical treatment of Energy Performance Contracts. </w:t>
      </w:r>
      <w:r>
        <w:rPr>
          <w:rFonts w:ascii="Times New Roman" w:hAnsi="Times New Roman" w:cs="Times New Roman"/>
        </w:rPr>
        <w:t>It</w:t>
      </w:r>
      <w:r w:rsidRPr="00F903DD">
        <w:rPr>
          <w:rFonts w:ascii="Times New Roman" w:hAnsi="Times New Roman" w:cs="Times New Roman"/>
        </w:rPr>
        <w:t xml:space="preserve"> will help public authorities and market actors understand under which conditions </w:t>
      </w:r>
      <w:r>
        <w:rPr>
          <w:rFonts w:ascii="Times New Roman" w:hAnsi="Times New Roman" w:cs="Times New Roman"/>
        </w:rPr>
        <w:t xml:space="preserve">of </w:t>
      </w:r>
      <w:r w:rsidRPr="00F903DD">
        <w:rPr>
          <w:rFonts w:ascii="Times New Roman" w:hAnsi="Times New Roman" w:cs="Times New Roman"/>
        </w:rPr>
        <w:t>an Energy Performance Contract could be considered off balance sheet. It will help public authorities prepare and finance projects by mobilising private capital and expertise.</w:t>
      </w:r>
    </w:p>
  </w:footnote>
  <w:footnote w:id="17">
    <w:p w14:paraId="196A82E0" w14:textId="77777777" w:rsidR="001C4312" w:rsidRPr="00153D4D" w:rsidRDefault="001C4312">
      <w:pPr>
        <w:pStyle w:val="FootnoteText"/>
      </w:pPr>
      <w:r w:rsidRPr="00153D4D">
        <w:rPr>
          <w:rStyle w:val="FootnoteReference"/>
        </w:rPr>
        <w:footnoteRef/>
      </w:r>
      <w:r w:rsidRPr="00153D4D">
        <w:t xml:space="preserve"> </w:t>
      </w:r>
      <w:r w:rsidRPr="005D32E4">
        <w:rPr>
          <w:rFonts w:ascii="Times New Roman" w:hAnsi="Times New Roman" w:cs="Times New Roman"/>
        </w:rPr>
        <w:t>Recital 14 of Directive (EU) 2018/844</w:t>
      </w:r>
    </w:p>
  </w:footnote>
  <w:footnote w:id="18">
    <w:p w14:paraId="262B7F4D" w14:textId="77777777" w:rsidR="001C4312" w:rsidRPr="005D2263" w:rsidRDefault="001C4312">
      <w:pPr>
        <w:pStyle w:val="FootnoteText"/>
        <w:rPr>
          <w:lang w:val="en-US"/>
        </w:rPr>
      </w:pPr>
      <w:r w:rsidRPr="00153D4D">
        <w:rPr>
          <w:rStyle w:val="FootnoteReference"/>
        </w:rPr>
        <w:footnoteRef/>
      </w:r>
      <w:r w:rsidRPr="00153D4D">
        <w:t xml:space="preserve"> </w:t>
      </w:r>
      <w:r w:rsidRPr="005D32E4">
        <w:rPr>
          <w:rFonts w:ascii="Times New Roman" w:hAnsi="Times New Roman" w:cs="Times New Roman"/>
        </w:rPr>
        <w:t>Recital 13 of Directive (EU) 2018/844</w:t>
      </w:r>
    </w:p>
  </w:footnote>
  <w:footnote w:id="19">
    <w:p w14:paraId="4EDFB768" w14:textId="67DB3DAE" w:rsidR="001C4312" w:rsidRPr="000F1795" w:rsidRDefault="001C4312" w:rsidP="00C7505B">
      <w:pPr>
        <w:pStyle w:val="FootnoteText"/>
        <w:rPr>
          <w:lang w:val="en-US"/>
        </w:rPr>
      </w:pPr>
      <w:r>
        <w:rPr>
          <w:rStyle w:val="FootnoteReference"/>
        </w:rPr>
        <w:footnoteRef/>
      </w:r>
      <w:r>
        <w:t xml:space="preserve"> </w:t>
      </w:r>
      <w:r w:rsidRPr="000F1795">
        <w:rPr>
          <w:rFonts w:ascii="Times New Roman" w:hAnsi="Times New Roman" w:cs="Times New Roman"/>
        </w:rPr>
        <w:t xml:space="preserve">In line with the subsidiarity principle, </w:t>
      </w:r>
      <w:r>
        <w:rPr>
          <w:rFonts w:ascii="Times New Roman" w:hAnsi="Times New Roman" w:cs="Times New Roman"/>
        </w:rPr>
        <w:t>safety issues</w:t>
      </w:r>
      <w:r w:rsidRPr="000F1795">
        <w:rPr>
          <w:rFonts w:ascii="Times New Roman" w:hAnsi="Times New Roman" w:cs="Times New Roman"/>
        </w:rPr>
        <w:t xml:space="preserve"> are regulated at Member State level. Issues such as those related to the choice of materials, to horizontal building safety regulations, and to structural performance of the building, are regulated at national level and are out of the scope of the Directive.</w:t>
      </w:r>
    </w:p>
  </w:footnote>
  <w:footnote w:id="20">
    <w:p w14:paraId="4CEC4EE1" w14:textId="21A9B750" w:rsidR="001C4312" w:rsidRPr="00392B89" w:rsidRDefault="001C4312">
      <w:pPr>
        <w:pStyle w:val="FootnoteText"/>
        <w:rPr>
          <w:rFonts w:ascii="Times New Roman" w:hAnsi="Times New Roman" w:cs="Times New Roman"/>
          <w:lang w:val="en-US"/>
        </w:rPr>
      </w:pPr>
      <w:r w:rsidRPr="00392B89">
        <w:rPr>
          <w:rStyle w:val="FootnoteReference"/>
          <w:rFonts w:ascii="Times New Roman" w:hAnsi="Times New Roman" w:cs="Times New Roman"/>
        </w:rPr>
        <w:footnoteRef/>
      </w:r>
      <w:r w:rsidRPr="00392B89">
        <w:rPr>
          <w:rFonts w:ascii="Times New Roman" w:hAnsi="Times New Roman" w:cs="Times New Roman"/>
        </w:rPr>
        <w:t xml:space="preserve"> </w:t>
      </w:r>
      <w:hyperlink r:id="rId3" w:history="1">
        <w:r w:rsidRPr="003016B9">
          <w:rPr>
            <w:rStyle w:val="Hyperlink"/>
            <w:rFonts w:ascii="Times New Roman" w:hAnsi="Times New Roman" w:cs="Times New Roman"/>
          </w:rPr>
          <w:t>https://deep.eefig.eu/</w:t>
        </w:r>
      </w:hyperlink>
      <w:r>
        <w:rPr>
          <w:rFonts w:ascii="Times New Roman" w:hAnsi="Times New Roman" w:cs="Times New Roman"/>
        </w:rPr>
        <w:t xml:space="preserve"> </w:t>
      </w:r>
    </w:p>
  </w:footnote>
  <w:footnote w:id="21">
    <w:p w14:paraId="119DD19C" w14:textId="4A78868D" w:rsidR="001C4312" w:rsidRPr="003829A3" w:rsidRDefault="001C4312">
      <w:pPr>
        <w:pStyle w:val="FootnoteText"/>
        <w:rPr>
          <w:rFonts w:ascii="Times New Roman" w:hAnsi="Times New Roman" w:cs="Times New Roman"/>
          <w:lang w:val="en-US"/>
        </w:rPr>
      </w:pPr>
      <w:r w:rsidRPr="00392B89">
        <w:rPr>
          <w:rStyle w:val="FootnoteReference"/>
          <w:rFonts w:ascii="Times New Roman" w:hAnsi="Times New Roman" w:cs="Times New Roman"/>
        </w:rPr>
        <w:footnoteRef/>
      </w:r>
      <w:r w:rsidRPr="00392B89">
        <w:rPr>
          <w:rFonts w:ascii="Times New Roman" w:hAnsi="Times New Roman" w:cs="Times New Roman"/>
        </w:rPr>
        <w:t xml:space="preserve"> </w:t>
      </w:r>
      <w:hyperlink r:id="rId4" w:history="1">
        <w:r w:rsidRPr="003016B9">
          <w:rPr>
            <w:rStyle w:val="Hyperlink"/>
            <w:rFonts w:ascii="Times New Roman" w:hAnsi="Times New Roman" w:cs="Times New Roman"/>
            <w:lang w:val="en-US"/>
          </w:rPr>
          <w:t>http://www.eefig.eu/index.php/underwriting-toolkit</w:t>
        </w:r>
      </w:hyperlink>
      <w:r>
        <w:rPr>
          <w:rFonts w:ascii="Times New Roman" w:hAnsi="Times New Roman" w:cs="Times New Roman"/>
          <w:lang w:val="en-US"/>
        </w:rPr>
        <w:t xml:space="preserve"> </w:t>
      </w:r>
    </w:p>
  </w:footnote>
  <w:footnote w:id="22">
    <w:p w14:paraId="6998E726" w14:textId="4015B554" w:rsidR="001C4312" w:rsidRPr="00DF02D8" w:rsidRDefault="001C4312">
      <w:pPr>
        <w:pStyle w:val="FootnoteText"/>
        <w:rPr>
          <w:rFonts w:ascii="Times New Roman" w:hAnsi="Times New Roman" w:cs="Times New Roman"/>
        </w:rPr>
      </w:pPr>
      <w:r>
        <w:rPr>
          <w:rStyle w:val="FootnoteReference"/>
        </w:rPr>
        <w:footnoteRef/>
      </w:r>
      <w:r>
        <w:t xml:space="preserve"> </w:t>
      </w:r>
      <w:hyperlink r:id="rId5" w:history="1">
        <w:r w:rsidRPr="00182763">
          <w:rPr>
            <w:rStyle w:val="Hyperlink"/>
            <w:rFonts w:ascii="Times New Roman" w:hAnsi="Times New Roman" w:cs="Times New Roman"/>
          </w:rPr>
          <w:t>https://eur-lex.europa.eu/legal-content/EN/TXT/?qid=1535361114906&amp;uri=CELEX:52016SC0404</w:t>
        </w:r>
      </w:hyperlink>
      <w:r w:rsidRPr="00182763">
        <w:rPr>
          <w:rStyle w:val="Hyperlink"/>
          <w:rFonts w:ascii="Times New Roman" w:hAnsi="Times New Roman" w:cs="Times New Roman"/>
        </w:rPr>
        <w:t xml:space="preserve"> </w:t>
      </w:r>
      <w:r>
        <w:rPr>
          <w:rFonts w:ascii="Times New Roman" w:hAnsi="Times New Roman" w:cs="Times New Roman"/>
        </w:rPr>
        <w:t xml:space="preserve"> </w:t>
      </w:r>
    </w:p>
  </w:footnote>
  <w:footnote w:id="23">
    <w:p w14:paraId="5B65E46E" w14:textId="7C9ED6AD" w:rsidR="001C4312" w:rsidRPr="00065221" w:rsidRDefault="001C4312" w:rsidP="00B46A3F">
      <w:pPr>
        <w:spacing w:after="120"/>
        <w:jc w:val="both"/>
        <w:rPr>
          <w:lang w:val="en-US"/>
        </w:rPr>
      </w:pPr>
      <w:r>
        <w:rPr>
          <w:rStyle w:val="FootnoteReference"/>
        </w:rPr>
        <w:footnoteRef/>
      </w:r>
      <w:r>
        <w:t xml:space="preserve"> </w:t>
      </w:r>
      <w:r w:rsidRPr="00065221">
        <w:rPr>
          <w:rFonts w:ascii="Times New Roman" w:hAnsi="Times New Roman" w:cs="Times New Roman"/>
          <w:sz w:val="20"/>
          <w:szCs w:val="20"/>
        </w:rPr>
        <w:t>Following this political agreement, the text of the Regulation will have to be formally approved by the European Parliament and the Council. Once formally adopted by both co-legislators in the coming months, the Regulation on the Governance of the Energy Union will be published in the Official Journal of the Union and will enter into force 20 days after publication.</w:t>
      </w:r>
      <w:r>
        <w:rPr>
          <w:rFonts w:ascii="Times New Roman" w:hAnsi="Times New Roman" w:cs="Times New Roman"/>
          <w:sz w:val="20"/>
          <w:szCs w:val="20"/>
        </w:rPr>
        <w:t xml:space="preserve"> </w:t>
      </w:r>
      <w:hyperlink r:id="rId6" w:history="1">
        <w:r w:rsidRPr="003016B9">
          <w:rPr>
            <w:rStyle w:val="Hyperlink"/>
            <w:rFonts w:ascii="Times New Roman" w:hAnsi="Times New Roman" w:cs="Times New Roman"/>
          </w:rPr>
          <w:t>http://europa.eu/rapid/press-release_IP-18-4229_en.htm</w:t>
        </w:r>
      </w:hyperlink>
      <w:r>
        <w:rPr>
          <w:rFonts w:ascii="Times New Roman" w:hAnsi="Times New Roman" w:cs="Times New Roman"/>
        </w:rPr>
        <w:t xml:space="preserve"> </w:t>
      </w:r>
    </w:p>
  </w:footnote>
  <w:footnote w:id="24">
    <w:p w14:paraId="44CFB6D0" w14:textId="77777777" w:rsidR="001C4312" w:rsidRPr="006B0E32" w:rsidRDefault="001C4312" w:rsidP="009F1777">
      <w:pPr>
        <w:pStyle w:val="FootnoteText"/>
        <w:jc w:val="both"/>
      </w:pPr>
      <w:r w:rsidRPr="00B879D5">
        <w:rPr>
          <w:rStyle w:val="FootnoteReference"/>
          <w:rFonts w:ascii="Times New Roman" w:hAnsi="Times New Roman" w:cs="Times New Roman"/>
        </w:rPr>
        <w:footnoteRef/>
      </w:r>
      <w:r w:rsidRPr="00B879D5">
        <w:rPr>
          <w:rFonts w:ascii="Times New Roman" w:hAnsi="Times New Roman" w:cs="Times New Roman"/>
        </w:rPr>
        <w:t xml:space="preserve"> </w:t>
      </w:r>
      <w:r w:rsidRPr="00D86751">
        <w:rPr>
          <w:rFonts w:ascii="Times New Roman" w:hAnsi="Times New Roman" w:cs="Times New Roman"/>
        </w:rPr>
        <w:t>JRC Science for Policy Report</w:t>
      </w:r>
      <w:r>
        <w:rPr>
          <w:rFonts w:ascii="Times New Roman" w:hAnsi="Times New Roman" w:cs="Times New Roman"/>
        </w:rPr>
        <w:t xml:space="preserve">: </w:t>
      </w:r>
      <w:r w:rsidRPr="00B879D5">
        <w:rPr>
          <w:rFonts w:ascii="Times New Roman" w:hAnsi="Times New Roman" w:cs="Times New Roman"/>
        </w:rPr>
        <w:t>Assessment of Second Long-term Renovation Strategies under the Energy Efficiency Directive</w:t>
      </w:r>
      <w:r w:rsidRPr="009C3D6A">
        <w:rPr>
          <w:rFonts w:ascii="Times New Roman" w:hAnsi="Times New Roman" w:cs="Times New Roman"/>
        </w:rPr>
        <w:t xml:space="preserve">, </w:t>
      </w:r>
      <w:r w:rsidRPr="00B879D5">
        <w:rPr>
          <w:rFonts w:ascii="Times New Roman" w:hAnsi="Times New Roman" w:cs="Times New Roman"/>
        </w:rPr>
        <w:t>2018</w:t>
      </w:r>
    </w:p>
  </w:footnote>
  <w:footnote w:id="25">
    <w:p w14:paraId="5ACB3978" w14:textId="77777777" w:rsidR="001C4312" w:rsidRPr="001F47EA" w:rsidRDefault="001C4312" w:rsidP="0028245E">
      <w:pPr>
        <w:pStyle w:val="FootnoteText"/>
        <w:jc w:val="both"/>
        <w:rPr>
          <w:lang w:val="en-US"/>
        </w:rPr>
      </w:pPr>
      <w:r>
        <w:rPr>
          <w:rStyle w:val="FootnoteReference"/>
        </w:rPr>
        <w:footnoteRef/>
      </w:r>
      <w:r>
        <w:t xml:space="preserve"> </w:t>
      </w:r>
      <w:r w:rsidRPr="00D86751">
        <w:rPr>
          <w:rFonts w:ascii="Times New Roman" w:hAnsi="Times New Roman" w:cs="Times New Roman"/>
        </w:rPr>
        <w:t>JRC Science for Policy Reports</w:t>
      </w:r>
      <w:r>
        <w:rPr>
          <w:rFonts w:ascii="Times New Roman" w:hAnsi="Times New Roman" w:cs="Times New Roman"/>
        </w:rPr>
        <w:t>:</w:t>
      </w:r>
      <w:r w:rsidRPr="009C3D6A">
        <w:rPr>
          <w:rFonts w:ascii="Times New Roman" w:hAnsi="Times New Roman" w:cs="Times New Roman"/>
        </w:rPr>
        <w:t xml:space="preserve"> </w:t>
      </w:r>
      <w:r w:rsidRPr="001F47EA">
        <w:rPr>
          <w:rFonts w:ascii="Times New Roman" w:hAnsi="Times New Roman" w:cs="Times New Roman"/>
        </w:rPr>
        <w:t xml:space="preserve">Synthesis Report on the assessment of Member States' building renovation strategies (2016) and </w:t>
      </w:r>
      <w:r w:rsidRPr="00D86751">
        <w:rPr>
          <w:rFonts w:ascii="Times New Roman" w:hAnsi="Times New Roman" w:cs="Times New Roman"/>
        </w:rPr>
        <w:t>Assessment of Second Long-term Renovation Strategies under the Energy Efficiency Directive (2018)</w:t>
      </w:r>
    </w:p>
  </w:footnote>
  <w:footnote w:id="26">
    <w:p w14:paraId="352D6731" w14:textId="77777777" w:rsidR="001C4312" w:rsidRPr="0035039A" w:rsidRDefault="001C4312" w:rsidP="00341E14">
      <w:pPr>
        <w:pStyle w:val="FootnoteText"/>
        <w:rPr>
          <w:rFonts w:ascii="Times New Roman" w:hAnsi="Times New Roman" w:cs="Times New Roman"/>
        </w:rPr>
      </w:pPr>
      <w:r w:rsidRPr="0035039A">
        <w:rPr>
          <w:rStyle w:val="FootnoteReference"/>
        </w:rPr>
        <w:footnoteRef/>
      </w:r>
      <w:r w:rsidRPr="0035039A">
        <w:t xml:space="preserve"> </w:t>
      </w:r>
      <w:hyperlink r:id="rId7" w:history="1">
        <w:r w:rsidRPr="0069099C">
          <w:rPr>
            <w:rStyle w:val="Hyperlink"/>
            <w:rFonts w:ascii="Times New Roman" w:hAnsi="Times New Roman" w:cs="Times New Roman"/>
          </w:rPr>
          <w:t>https://ec.europa.eu/energy/sites/ener/files/documents/2014_article4_en_denmark.pdf</w:t>
        </w:r>
      </w:hyperlink>
      <w:r>
        <w:rPr>
          <w:rFonts w:ascii="Times New Roman" w:hAnsi="Times New Roman" w:cs="Times New Roman"/>
        </w:rPr>
        <w:t xml:space="preserve"> </w:t>
      </w:r>
    </w:p>
  </w:footnote>
  <w:footnote w:id="27">
    <w:p w14:paraId="70905493" w14:textId="77777777" w:rsidR="001C4312" w:rsidRPr="006E57D8" w:rsidRDefault="001C4312" w:rsidP="0027020A">
      <w:pPr>
        <w:pStyle w:val="FootnoteText"/>
        <w:rPr>
          <w:lang w:val="en-US"/>
        </w:rPr>
      </w:pPr>
      <w:r w:rsidRPr="00B131E4">
        <w:rPr>
          <w:rStyle w:val="FootnoteReference"/>
          <w:rFonts w:ascii="Times New Roman" w:hAnsi="Times New Roman" w:cs="Times New Roman"/>
        </w:rPr>
        <w:footnoteRef/>
      </w:r>
      <w:r w:rsidRPr="00B131E4">
        <w:rPr>
          <w:rFonts w:ascii="Times New Roman" w:hAnsi="Times New Roman" w:cs="Times New Roman"/>
        </w:rPr>
        <w:t xml:space="preserve"> </w:t>
      </w:r>
      <w:hyperlink r:id="rId8" w:history="1">
        <w:r w:rsidRPr="0069099C">
          <w:rPr>
            <w:rStyle w:val="Hyperlink"/>
            <w:rFonts w:ascii="Times New Roman" w:hAnsi="Times New Roman" w:cs="Times New Roman"/>
          </w:rPr>
          <w:t>https://eur-lex.europa.eu/legal-content/EN/TXT/PDF/?uri=CELEX:52016SC0414&amp;from=EN</w:t>
        </w:r>
      </w:hyperlink>
      <w:r>
        <w:rPr>
          <w:rFonts w:ascii="Times New Roman" w:hAnsi="Times New Roman" w:cs="Times New Roman"/>
        </w:rPr>
        <w:t xml:space="preserve"> </w:t>
      </w:r>
    </w:p>
  </w:footnote>
  <w:footnote w:id="28">
    <w:p w14:paraId="46DE1F88" w14:textId="77777777" w:rsidR="001C4312" w:rsidRPr="0035039A" w:rsidRDefault="001C4312" w:rsidP="007A16A5">
      <w:pPr>
        <w:pStyle w:val="FootnoteText"/>
      </w:pPr>
      <w:r>
        <w:rPr>
          <w:rStyle w:val="FootnoteReference"/>
        </w:rPr>
        <w:footnoteRef/>
      </w:r>
      <w:r>
        <w:t xml:space="preserve"> </w:t>
      </w:r>
      <w:hyperlink r:id="rId9" w:history="1">
        <w:r w:rsidRPr="0069099C">
          <w:rPr>
            <w:rStyle w:val="Hyperlink"/>
            <w:rFonts w:ascii="Times New Roman" w:hAnsi="Times New Roman" w:cs="Times New Roman"/>
          </w:rPr>
          <w:t>http://www.buildup.eu/en/skills</w:t>
        </w:r>
      </w:hyperlink>
      <w:r>
        <w:rPr>
          <w:rFonts w:ascii="Times New Roman" w:hAnsi="Times New Roman" w:cs="Times New Roman"/>
        </w:rPr>
        <w:t xml:space="preserve"> </w:t>
      </w:r>
    </w:p>
  </w:footnote>
  <w:footnote w:id="29">
    <w:p w14:paraId="62C4AEB9" w14:textId="77777777" w:rsidR="001C4312" w:rsidRPr="00944E7A" w:rsidRDefault="001C4312" w:rsidP="0027020A">
      <w:pPr>
        <w:pStyle w:val="FootnoteText"/>
        <w:jc w:val="both"/>
        <w:rPr>
          <w:lang w:val="en-US"/>
        </w:rPr>
      </w:pPr>
      <w:r>
        <w:rPr>
          <w:rStyle w:val="FootnoteReference"/>
        </w:rPr>
        <w:footnoteRef/>
      </w:r>
      <w:r>
        <w:t xml:space="preserve"> </w:t>
      </w:r>
      <w:r w:rsidRPr="00D86751">
        <w:rPr>
          <w:rFonts w:ascii="Times New Roman" w:hAnsi="Times New Roman" w:cs="Times New Roman"/>
        </w:rPr>
        <w:t>JRC Science for Policy Report</w:t>
      </w:r>
      <w:r>
        <w:rPr>
          <w:rFonts w:ascii="Times New Roman" w:hAnsi="Times New Roman" w:cs="Times New Roman"/>
        </w:rPr>
        <w:t>:</w:t>
      </w:r>
      <w:r w:rsidRPr="009C3D6A">
        <w:rPr>
          <w:rFonts w:ascii="Times New Roman" w:hAnsi="Times New Roman" w:cs="Times New Roman"/>
        </w:rPr>
        <w:t xml:space="preserve"> </w:t>
      </w:r>
      <w:r w:rsidRPr="00D86751">
        <w:rPr>
          <w:rFonts w:ascii="Times New Roman" w:hAnsi="Times New Roman" w:cs="Times New Roman"/>
        </w:rPr>
        <w:t>Assessment of Second Long-term Renovation Strategies under the Energy Efficiency Directive (2018)</w:t>
      </w:r>
    </w:p>
  </w:footnote>
  <w:footnote w:id="30">
    <w:p w14:paraId="465DB883" w14:textId="71FA5B58"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0" w:history="1">
        <w:r w:rsidRPr="005C4EAF">
          <w:rPr>
            <w:rStyle w:val="Hyperlink"/>
            <w:rFonts w:ascii="Times New Roman" w:hAnsi="Times New Roman" w:cs="Times New Roman"/>
          </w:rPr>
          <w:t>http://www.padovafit.it/english/</w:t>
        </w:r>
      </w:hyperlink>
      <w:r>
        <w:rPr>
          <w:rFonts w:ascii="Times New Roman" w:hAnsi="Times New Roman" w:cs="Times New Roman"/>
        </w:rPr>
        <w:t xml:space="preserve"> </w:t>
      </w:r>
    </w:p>
  </w:footnote>
  <w:footnote w:id="31">
    <w:p w14:paraId="147C639E" w14:textId="49336043"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1" w:history="1">
        <w:r w:rsidRPr="005C4EAF">
          <w:rPr>
            <w:rStyle w:val="Hyperlink"/>
            <w:rFonts w:ascii="Times New Roman" w:hAnsi="Times New Roman" w:cs="Times New Roman"/>
          </w:rPr>
          <w:t>http://sharex.lv/en/latvian-baltic-energy-efficiency-facility-labeef</w:t>
        </w:r>
      </w:hyperlink>
      <w:r>
        <w:rPr>
          <w:rFonts w:ascii="Times New Roman" w:hAnsi="Times New Roman" w:cs="Times New Roman"/>
        </w:rPr>
        <w:t xml:space="preserve"> </w:t>
      </w:r>
    </w:p>
  </w:footnote>
  <w:footnote w:id="32">
    <w:p w14:paraId="030658B4" w14:textId="1CF4D38F"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2" w:history="1">
        <w:r w:rsidRPr="005C4EAF">
          <w:rPr>
            <w:rStyle w:val="Hyperlink"/>
            <w:rFonts w:ascii="Times New Roman" w:hAnsi="Times New Roman" w:cs="Times New Roman"/>
          </w:rPr>
          <w:t>http://www.vipa.lt/page/dnmfen</w:t>
        </w:r>
      </w:hyperlink>
      <w:r>
        <w:rPr>
          <w:rFonts w:ascii="Times New Roman" w:hAnsi="Times New Roman" w:cs="Times New Roman"/>
        </w:rPr>
        <w:t xml:space="preserve"> </w:t>
      </w:r>
    </w:p>
  </w:footnote>
  <w:footnote w:id="33">
    <w:p w14:paraId="25859CA0" w14:textId="319F9390"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3" w:history="1">
        <w:r w:rsidRPr="005C4EAF">
          <w:rPr>
            <w:rStyle w:val="Hyperlink"/>
            <w:rFonts w:ascii="Times New Roman" w:hAnsi="Times New Roman" w:cs="Times New Roman"/>
          </w:rPr>
          <w:t>http://www.kredex.ee/en/apartment-association/</w:t>
        </w:r>
      </w:hyperlink>
      <w:r>
        <w:rPr>
          <w:rFonts w:ascii="Times New Roman" w:hAnsi="Times New Roman" w:cs="Times New Roman"/>
          <w:color w:val="000000"/>
        </w:rPr>
        <w:t xml:space="preserve"> </w:t>
      </w:r>
    </w:p>
  </w:footnote>
  <w:footnote w:id="34">
    <w:p w14:paraId="11D6788D" w14:textId="257C8FD1"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4" w:history="1">
        <w:r w:rsidRPr="005C4EAF">
          <w:rPr>
            <w:rStyle w:val="Hyperlink"/>
            <w:rFonts w:ascii="Times New Roman" w:hAnsi="Times New Roman" w:cs="Times New Roman"/>
          </w:rPr>
          <w:t>https://www.kfw.de/inlandsfoerderung/Privatpersonen/Bestandsimmobilie/</w:t>
        </w:r>
      </w:hyperlink>
      <w:r>
        <w:rPr>
          <w:rFonts w:ascii="Times New Roman" w:hAnsi="Times New Roman" w:cs="Times New Roman"/>
        </w:rPr>
        <w:t xml:space="preserve"> </w:t>
      </w:r>
    </w:p>
  </w:footnote>
  <w:footnote w:id="35">
    <w:p w14:paraId="6BDB7C35" w14:textId="2BE28C2C"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5" w:history="1">
        <w:r w:rsidRPr="005C4EAF">
          <w:rPr>
            <w:rStyle w:val="Hyperlink"/>
            <w:rFonts w:ascii="Times New Roman" w:hAnsi="Times New Roman" w:cs="Times New Roman"/>
          </w:rPr>
          <w:t>http://www.slovseff.eu/index.php/en/</w:t>
        </w:r>
      </w:hyperlink>
      <w:r>
        <w:rPr>
          <w:rFonts w:ascii="Times New Roman" w:hAnsi="Times New Roman" w:cs="Times New Roman"/>
        </w:rPr>
        <w:t xml:space="preserve"> </w:t>
      </w:r>
    </w:p>
  </w:footnote>
  <w:footnote w:id="36">
    <w:p w14:paraId="5E38E5ED" w14:textId="0171286E"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6" w:history="1">
        <w:r w:rsidRPr="005C4EAF">
          <w:rPr>
            <w:rStyle w:val="Hyperlink"/>
            <w:rFonts w:ascii="Times New Roman" w:hAnsi="Times New Roman" w:cs="Times New Roman"/>
          </w:rPr>
          <w:t>http://www.eib.org/en/products/blending/pf4ee/index.htm</w:t>
        </w:r>
      </w:hyperlink>
      <w:r>
        <w:rPr>
          <w:rFonts w:ascii="Times New Roman" w:hAnsi="Times New Roman" w:cs="Times New Roman"/>
        </w:rPr>
        <w:t xml:space="preserve"> </w:t>
      </w:r>
    </w:p>
  </w:footnote>
  <w:footnote w:id="37">
    <w:p w14:paraId="47D9ABDC" w14:textId="1EB9BDAB"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7" w:history="1">
        <w:r w:rsidRPr="005C4EAF">
          <w:rPr>
            <w:rStyle w:val="Hyperlink"/>
            <w:rFonts w:ascii="Times New Roman" w:hAnsi="Times New Roman" w:cs="Times New Roman"/>
          </w:rPr>
          <w:t>http://www.escolimburg2020.be/en</w:t>
        </w:r>
      </w:hyperlink>
      <w:r>
        <w:rPr>
          <w:rFonts w:ascii="Times New Roman" w:hAnsi="Times New Roman" w:cs="Times New Roman"/>
        </w:rPr>
        <w:t xml:space="preserve"> </w:t>
      </w:r>
    </w:p>
  </w:footnote>
  <w:footnote w:id="38">
    <w:p w14:paraId="04A2ECF2" w14:textId="6E4CF7C4"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8" w:history="1">
        <w:r w:rsidRPr="005C4EAF">
          <w:rPr>
            <w:rStyle w:val="Hyperlink"/>
            <w:rFonts w:ascii="Times New Roman" w:hAnsi="Times New Roman" w:cs="Times New Roman"/>
          </w:rPr>
          <w:t>https://www.london.gov.uk/what-we-do/environment/energy/energy-buildings/refit/what-refit-london</w:t>
        </w:r>
      </w:hyperlink>
      <w:r>
        <w:rPr>
          <w:rFonts w:ascii="Times New Roman" w:hAnsi="Times New Roman" w:cs="Times New Roman"/>
        </w:rPr>
        <w:t xml:space="preserve"> </w:t>
      </w:r>
    </w:p>
  </w:footnote>
  <w:footnote w:id="39">
    <w:p w14:paraId="7968A11B" w14:textId="60FC1417"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19" w:history="1">
        <w:r w:rsidRPr="005C4EAF">
          <w:rPr>
            <w:rStyle w:val="Hyperlink"/>
            <w:rFonts w:ascii="Times New Roman" w:hAnsi="Times New Roman" w:cs="Times New Roman"/>
          </w:rPr>
          <w:t>http://www.eib.org/attachments/documents/elena-completed-eol-en.pdf</w:t>
        </w:r>
      </w:hyperlink>
      <w:r>
        <w:rPr>
          <w:rFonts w:ascii="Times New Roman" w:hAnsi="Times New Roman" w:cs="Times New Roman"/>
        </w:rPr>
        <w:t xml:space="preserve"> </w:t>
      </w:r>
    </w:p>
  </w:footnote>
  <w:footnote w:id="40">
    <w:p w14:paraId="3DF9748E" w14:textId="4E56B48A"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20" w:history="1">
        <w:r w:rsidRPr="005C4EAF">
          <w:rPr>
            <w:rStyle w:val="Hyperlink"/>
            <w:rFonts w:ascii="Times New Roman" w:hAnsi="Times New Roman" w:cs="Times New Roman"/>
          </w:rPr>
          <w:t>https://ec.europa.eu/energy/intelligent/projects/en/projects/2020together</w:t>
        </w:r>
      </w:hyperlink>
      <w:r>
        <w:rPr>
          <w:rFonts w:ascii="Times New Roman" w:hAnsi="Times New Roman" w:cs="Times New Roman"/>
        </w:rPr>
        <w:t xml:space="preserve"> </w:t>
      </w:r>
    </w:p>
  </w:footnote>
  <w:footnote w:id="41">
    <w:p w14:paraId="25F94D12" w14:textId="275A672B"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21" w:history="1">
        <w:r w:rsidRPr="005C4EAF">
          <w:rPr>
            <w:rStyle w:val="Hyperlink"/>
            <w:rFonts w:ascii="Times New Roman" w:hAnsi="Times New Roman" w:cs="Times New Roman"/>
          </w:rPr>
          <w:t>http://www.gre-liege.be/renowatt/25/renowatt.html</w:t>
        </w:r>
      </w:hyperlink>
      <w:r>
        <w:rPr>
          <w:rFonts w:ascii="Times New Roman" w:hAnsi="Times New Roman" w:cs="Times New Roman"/>
        </w:rPr>
        <w:t xml:space="preserve"> </w:t>
      </w:r>
    </w:p>
  </w:footnote>
  <w:footnote w:id="42">
    <w:p w14:paraId="680E6B13" w14:textId="1D0DDF35"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22" w:history="1">
        <w:r w:rsidRPr="005C4EAF">
          <w:rPr>
            <w:rStyle w:val="Hyperlink"/>
            <w:rFonts w:ascii="Times New Roman" w:hAnsi="Times New Roman" w:cs="Times New Roman"/>
          </w:rPr>
          <w:t>http://www.energiespositif.fr/</w:t>
        </w:r>
      </w:hyperlink>
      <w:r>
        <w:rPr>
          <w:rFonts w:ascii="Times New Roman" w:hAnsi="Times New Roman" w:cs="Times New Roman"/>
        </w:rPr>
        <w:t xml:space="preserve"> </w:t>
      </w:r>
    </w:p>
  </w:footnote>
  <w:footnote w:id="43">
    <w:p w14:paraId="0C2EB94F" w14:textId="3910F4AC"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23" w:history="1">
        <w:r w:rsidRPr="005C4EAF">
          <w:rPr>
            <w:rStyle w:val="Hyperlink"/>
            <w:rFonts w:ascii="Times New Roman" w:hAnsi="Times New Roman" w:cs="Times New Roman"/>
          </w:rPr>
          <w:t>https://www.pass-renovation.picardie.fr/</w:t>
        </w:r>
      </w:hyperlink>
      <w:r>
        <w:rPr>
          <w:rFonts w:ascii="Times New Roman" w:hAnsi="Times New Roman" w:cs="Times New Roman"/>
        </w:rPr>
        <w:t xml:space="preserve"> </w:t>
      </w:r>
    </w:p>
  </w:footnote>
  <w:footnote w:id="44">
    <w:p w14:paraId="49F1EF72" w14:textId="6B54F2DF" w:rsidR="001C4312" w:rsidRPr="00182763"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24" w:history="1">
        <w:r w:rsidRPr="003016B9">
          <w:rPr>
            <w:rStyle w:val="Hyperlink"/>
            <w:rFonts w:ascii="Times New Roman" w:hAnsi="Times New Roman" w:cs="Times New Roman"/>
          </w:rPr>
          <w:t>https://www.fi-compass.eu/</w:t>
        </w:r>
      </w:hyperlink>
      <w:r>
        <w:rPr>
          <w:rFonts w:ascii="Times New Roman" w:hAnsi="Times New Roman" w:cs="Times New Roman"/>
        </w:rPr>
        <w:t xml:space="preserve"> </w:t>
      </w:r>
    </w:p>
  </w:footnote>
  <w:footnote w:id="45">
    <w:p w14:paraId="617BCF84" w14:textId="69F2BC5A" w:rsidR="001C4312" w:rsidRPr="00452849" w:rsidRDefault="001C4312" w:rsidP="009A0F1D">
      <w:pPr>
        <w:pStyle w:val="FootnoteText"/>
        <w:rPr>
          <w:rFonts w:ascii="Times New Roman" w:hAnsi="Times New Roman" w:cs="Times New Roman"/>
        </w:rPr>
      </w:pPr>
      <w:r w:rsidRPr="00182763">
        <w:rPr>
          <w:rStyle w:val="FootnoteReference"/>
          <w:rFonts w:ascii="Times New Roman" w:hAnsi="Times New Roman" w:cs="Times New Roman"/>
        </w:rPr>
        <w:footnoteRef/>
      </w:r>
      <w:r w:rsidRPr="00182763">
        <w:rPr>
          <w:rFonts w:ascii="Times New Roman" w:hAnsi="Times New Roman" w:cs="Times New Roman"/>
        </w:rPr>
        <w:t xml:space="preserve"> </w:t>
      </w:r>
      <w:hyperlink r:id="rId25" w:history="1">
        <w:r w:rsidRPr="003016B9">
          <w:rPr>
            <w:rStyle w:val="Hyperlink"/>
            <w:rFonts w:ascii="Times New Roman" w:hAnsi="Times New Roman" w:cs="Times New Roman"/>
          </w:rPr>
          <w:t>http://eiah.eib.org/</w:t>
        </w:r>
      </w:hyperlink>
      <w:r>
        <w:rPr>
          <w:rFonts w:ascii="Times New Roman" w:hAnsi="Times New Roman" w:cs="Times New Roman"/>
        </w:rPr>
        <w:t xml:space="preserve"> </w:t>
      </w:r>
    </w:p>
  </w:footnote>
  <w:footnote w:id="46">
    <w:p w14:paraId="73E781F0" w14:textId="77777777" w:rsidR="001C4312" w:rsidRPr="00922712" w:rsidRDefault="001C4312" w:rsidP="004B194D">
      <w:pPr>
        <w:pStyle w:val="FootnoteText"/>
      </w:pPr>
      <w:r w:rsidRPr="00922712">
        <w:rPr>
          <w:rStyle w:val="FootnoteReference"/>
        </w:rPr>
        <w:footnoteRef/>
      </w:r>
      <w:r w:rsidRPr="00922712">
        <w:t xml:space="preserve"> </w:t>
      </w:r>
      <w:hyperlink r:id="rId26" w:history="1">
        <w:r w:rsidRPr="00922712">
          <w:rPr>
            <w:rStyle w:val="Hyperlink"/>
            <w:rFonts w:ascii="Times New Roman" w:hAnsi="Times New Roman" w:cs="Times New Roman"/>
          </w:rPr>
          <w:t>https://ec.europa.eu/info/sites/info/files/better-regulation-guidelines-stakeholder-consultation.pdf</w:t>
        </w:r>
      </w:hyperlink>
      <w:r w:rsidRPr="00922712">
        <w:rPr>
          <w:rFonts w:ascii="Times New Roman" w:hAnsi="Times New Roman" w:cs="Times New Roman"/>
        </w:rPr>
        <w:t xml:space="preserve"> </w:t>
      </w:r>
    </w:p>
  </w:footnote>
  <w:footnote w:id="47">
    <w:p w14:paraId="1370D764" w14:textId="77777777" w:rsidR="001C4312" w:rsidRPr="002F7529" w:rsidRDefault="001C4312" w:rsidP="004B194D">
      <w:pPr>
        <w:pStyle w:val="NormalWeb"/>
        <w:rPr>
          <w:color w:val="000000"/>
          <w:sz w:val="20"/>
          <w:szCs w:val="20"/>
        </w:rPr>
      </w:pPr>
      <w:r>
        <w:rPr>
          <w:rStyle w:val="FootnoteReference"/>
        </w:rPr>
        <w:footnoteRef/>
      </w:r>
      <w:r>
        <w:t xml:space="preserve"> </w:t>
      </w:r>
      <w:hyperlink r:id="rId27" w:history="1">
        <w:r w:rsidRPr="002F7529">
          <w:rPr>
            <w:rStyle w:val="Hyperlink"/>
            <w:sz w:val="20"/>
            <w:szCs w:val="20"/>
          </w:rPr>
          <w:t>https://www.gov.uk/government/publications/consultation-principles-guidance</w:t>
        </w:r>
      </w:hyperlink>
    </w:p>
    <w:p w14:paraId="6B03CCE6" w14:textId="77777777" w:rsidR="001C4312" w:rsidRPr="002F7529" w:rsidRDefault="001C4312" w:rsidP="004B194D">
      <w:pPr>
        <w:pStyle w:val="FootnoteText"/>
      </w:pPr>
    </w:p>
  </w:footnote>
  <w:footnote w:id="48">
    <w:p w14:paraId="18DCBC71" w14:textId="77777777" w:rsidR="001C4312" w:rsidRDefault="001C4312" w:rsidP="004B194D">
      <w:pPr>
        <w:pStyle w:val="FootnoteText"/>
      </w:pPr>
      <w:r>
        <w:rPr>
          <w:rStyle w:val="FootnoteReference"/>
        </w:rPr>
        <w:footnoteRef/>
      </w:r>
      <w:r>
        <w:t xml:space="preserve"> </w:t>
      </w:r>
      <w:hyperlink r:id="rId28" w:history="1">
        <w:r w:rsidRPr="00452849">
          <w:rPr>
            <w:rStyle w:val="Hyperlink"/>
            <w:rFonts w:ascii="Times New Roman" w:hAnsi="Times New Roman" w:cs="Times New Roman"/>
          </w:rPr>
          <w:t>https://ec.europa.eu/energy/sites/ener/files/documents/5_en_autre_document_travail_service_part1_v4.pdf</w:t>
        </w:r>
      </w:hyperlink>
      <w:r>
        <w:t xml:space="preserve"> </w:t>
      </w:r>
    </w:p>
    <w:p w14:paraId="6735F079" w14:textId="77777777" w:rsidR="001C4312" w:rsidRPr="00945910" w:rsidRDefault="001C4312" w:rsidP="004B19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80A3" w14:textId="77777777" w:rsidR="001C4312" w:rsidRDefault="001C4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436773"/>
      <w:docPartObj>
        <w:docPartGallery w:val="Watermarks"/>
        <w:docPartUnique/>
      </w:docPartObj>
    </w:sdtPr>
    <w:sdtEndPr/>
    <w:sdtContent>
      <w:p w14:paraId="07A1B419" w14:textId="77777777" w:rsidR="001C4312" w:rsidRDefault="00CF3EC9">
        <w:pPr>
          <w:pStyle w:val="Header"/>
        </w:pPr>
        <w:r>
          <w:rPr>
            <w:noProof/>
            <w:lang w:val="en-US"/>
          </w:rPr>
          <w:pict w14:anchorId="3C53C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19AC" w14:textId="77777777" w:rsidR="001C4312" w:rsidRDefault="001C4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AF0"/>
    <w:multiLevelType w:val="hybridMultilevel"/>
    <w:tmpl w:val="F334B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137C4"/>
    <w:multiLevelType w:val="hybridMultilevel"/>
    <w:tmpl w:val="4B567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6935DE"/>
    <w:multiLevelType w:val="hybridMultilevel"/>
    <w:tmpl w:val="911E9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B09E0"/>
    <w:multiLevelType w:val="hybridMultilevel"/>
    <w:tmpl w:val="0DDAA72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918D1"/>
    <w:multiLevelType w:val="multilevel"/>
    <w:tmpl w:val="07F6EA0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2C4479F5"/>
    <w:multiLevelType w:val="hybridMultilevel"/>
    <w:tmpl w:val="0DA49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444459"/>
    <w:multiLevelType w:val="hybridMultilevel"/>
    <w:tmpl w:val="99B8D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417615"/>
    <w:multiLevelType w:val="hybridMultilevel"/>
    <w:tmpl w:val="B8B481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39CA27BD"/>
    <w:multiLevelType w:val="hybridMultilevel"/>
    <w:tmpl w:val="6B529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3E7E8C"/>
    <w:multiLevelType w:val="hybridMultilevel"/>
    <w:tmpl w:val="121AB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E3A01"/>
    <w:multiLevelType w:val="hybridMultilevel"/>
    <w:tmpl w:val="ED129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085A8B"/>
    <w:multiLevelType w:val="hybridMultilevel"/>
    <w:tmpl w:val="9E1C1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953D21"/>
    <w:multiLevelType w:val="hybridMultilevel"/>
    <w:tmpl w:val="BC409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8B1790"/>
    <w:multiLevelType w:val="hybridMultilevel"/>
    <w:tmpl w:val="24345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6F399A"/>
    <w:multiLevelType w:val="hybridMultilevel"/>
    <w:tmpl w:val="3C4816FE"/>
    <w:lvl w:ilvl="0" w:tplc="2B2CB2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CD6340"/>
    <w:multiLevelType w:val="hybridMultilevel"/>
    <w:tmpl w:val="6338D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600DBF"/>
    <w:multiLevelType w:val="hybridMultilevel"/>
    <w:tmpl w:val="F8987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3E7ED7"/>
    <w:multiLevelType w:val="hybridMultilevel"/>
    <w:tmpl w:val="947E4C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6F3A51"/>
    <w:multiLevelType w:val="hybridMultilevel"/>
    <w:tmpl w:val="9CEC8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031C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2"/>
  </w:num>
  <w:num w:numId="4">
    <w:abstractNumId w:val="5"/>
  </w:num>
  <w:num w:numId="5">
    <w:abstractNumId w:val="1"/>
  </w:num>
  <w:num w:numId="6">
    <w:abstractNumId w:val="16"/>
  </w:num>
  <w:num w:numId="7">
    <w:abstractNumId w:val="0"/>
  </w:num>
  <w:num w:numId="8">
    <w:abstractNumId w:val="15"/>
  </w:num>
  <w:num w:numId="9">
    <w:abstractNumId w:val="7"/>
  </w:num>
  <w:num w:numId="10">
    <w:abstractNumId w:val="12"/>
  </w:num>
  <w:num w:numId="11">
    <w:abstractNumId w:val="18"/>
  </w:num>
  <w:num w:numId="12">
    <w:abstractNumId w:val="10"/>
  </w:num>
  <w:num w:numId="13">
    <w:abstractNumId w:val="6"/>
  </w:num>
  <w:num w:numId="14">
    <w:abstractNumId w:val="8"/>
  </w:num>
  <w:num w:numId="15">
    <w:abstractNumId w:val="13"/>
  </w:num>
  <w:num w:numId="16">
    <w:abstractNumId w:val="3"/>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7"/>
  </w:num>
  <w:num w:numId="27">
    <w:abstractNumId w:val="11"/>
  </w:num>
  <w:num w:numId="28">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HVA">
    <w15:presenceInfo w15:providerId="None" w15:userId="REH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51424"/>
    <w:rsid w:val="00000015"/>
    <w:rsid w:val="000000FC"/>
    <w:rsid w:val="00000176"/>
    <w:rsid w:val="00002A0F"/>
    <w:rsid w:val="0001258E"/>
    <w:rsid w:val="000132AC"/>
    <w:rsid w:val="00013A40"/>
    <w:rsid w:val="00014902"/>
    <w:rsid w:val="00015A08"/>
    <w:rsid w:val="00017E76"/>
    <w:rsid w:val="00020F08"/>
    <w:rsid w:val="00021537"/>
    <w:rsid w:val="00021BBA"/>
    <w:rsid w:val="00023DF5"/>
    <w:rsid w:val="00024382"/>
    <w:rsid w:val="00024D2F"/>
    <w:rsid w:val="00032507"/>
    <w:rsid w:val="0003588A"/>
    <w:rsid w:val="0003783C"/>
    <w:rsid w:val="000415CC"/>
    <w:rsid w:val="00041CC6"/>
    <w:rsid w:val="00043332"/>
    <w:rsid w:val="00044D94"/>
    <w:rsid w:val="00045B73"/>
    <w:rsid w:val="00050888"/>
    <w:rsid w:val="0005401A"/>
    <w:rsid w:val="00062EA2"/>
    <w:rsid w:val="00063A62"/>
    <w:rsid w:val="0006427B"/>
    <w:rsid w:val="000646B8"/>
    <w:rsid w:val="00067F60"/>
    <w:rsid w:val="00071CE8"/>
    <w:rsid w:val="00071F52"/>
    <w:rsid w:val="0007394D"/>
    <w:rsid w:val="00076FCA"/>
    <w:rsid w:val="00082DA3"/>
    <w:rsid w:val="00085487"/>
    <w:rsid w:val="00086B8B"/>
    <w:rsid w:val="000905AE"/>
    <w:rsid w:val="00093414"/>
    <w:rsid w:val="0009679D"/>
    <w:rsid w:val="00097216"/>
    <w:rsid w:val="0009796D"/>
    <w:rsid w:val="000A089C"/>
    <w:rsid w:val="000A1095"/>
    <w:rsid w:val="000A23E6"/>
    <w:rsid w:val="000A27CE"/>
    <w:rsid w:val="000A3AE1"/>
    <w:rsid w:val="000A4348"/>
    <w:rsid w:val="000A4358"/>
    <w:rsid w:val="000A6169"/>
    <w:rsid w:val="000A6D98"/>
    <w:rsid w:val="000A7AD1"/>
    <w:rsid w:val="000B1C72"/>
    <w:rsid w:val="000B7B1C"/>
    <w:rsid w:val="000C0342"/>
    <w:rsid w:val="000C2492"/>
    <w:rsid w:val="000C7931"/>
    <w:rsid w:val="000D2D56"/>
    <w:rsid w:val="000D2ED3"/>
    <w:rsid w:val="000D7548"/>
    <w:rsid w:val="000E223A"/>
    <w:rsid w:val="000E5ECE"/>
    <w:rsid w:val="000F09B2"/>
    <w:rsid w:val="000F121A"/>
    <w:rsid w:val="000F1795"/>
    <w:rsid w:val="000F1F33"/>
    <w:rsid w:val="000F3B58"/>
    <w:rsid w:val="000F56E7"/>
    <w:rsid w:val="000F5B1B"/>
    <w:rsid w:val="000F627B"/>
    <w:rsid w:val="000F7DD3"/>
    <w:rsid w:val="00100002"/>
    <w:rsid w:val="0010367D"/>
    <w:rsid w:val="00105CF6"/>
    <w:rsid w:val="001078C0"/>
    <w:rsid w:val="00110DD6"/>
    <w:rsid w:val="00110E43"/>
    <w:rsid w:val="001122B7"/>
    <w:rsid w:val="00113F3C"/>
    <w:rsid w:val="001161B0"/>
    <w:rsid w:val="0011633C"/>
    <w:rsid w:val="00117F9F"/>
    <w:rsid w:val="00120DFF"/>
    <w:rsid w:val="0012174F"/>
    <w:rsid w:val="001224DC"/>
    <w:rsid w:val="001225C3"/>
    <w:rsid w:val="0012368D"/>
    <w:rsid w:val="0012391B"/>
    <w:rsid w:val="0012577D"/>
    <w:rsid w:val="0012616E"/>
    <w:rsid w:val="001320E6"/>
    <w:rsid w:val="00133B6F"/>
    <w:rsid w:val="00142367"/>
    <w:rsid w:val="0014310E"/>
    <w:rsid w:val="001458C9"/>
    <w:rsid w:val="00146F1A"/>
    <w:rsid w:val="001508B5"/>
    <w:rsid w:val="0015109A"/>
    <w:rsid w:val="001538FC"/>
    <w:rsid w:val="00153D4D"/>
    <w:rsid w:val="00153ECC"/>
    <w:rsid w:val="00155313"/>
    <w:rsid w:val="00157795"/>
    <w:rsid w:val="00157B52"/>
    <w:rsid w:val="00161CC5"/>
    <w:rsid w:val="001672BD"/>
    <w:rsid w:val="00167857"/>
    <w:rsid w:val="00171195"/>
    <w:rsid w:val="00172380"/>
    <w:rsid w:val="00172C0C"/>
    <w:rsid w:val="00177B4B"/>
    <w:rsid w:val="00180C86"/>
    <w:rsid w:val="00182654"/>
    <w:rsid w:val="00182763"/>
    <w:rsid w:val="00183EA7"/>
    <w:rsid w:val="00187276"/>
    <w:rsid w:val="0019193B"/>
    <w:rsid w:val="00192139"/>
    <w:rsid w:val="0019498F"/>
    <w:rsid w:val="00195CF6"/>
    <w:rsid w:val="001A30BC"/>
    <w:rsid w:val="001A3CDD"/>
    <w:rsid w:val="001A4B43"/>
    <w:rsid w:val="001A5CF4"/>
    <w:rsid w:val="001A60DC"/>
    <w:rsid w:val="001A7349"/>
    <w:rsid w:val="001B03F7"/>
    <w:rsid w:val="001B10D2"/>
    <w:rsid w:val="001B1E1F"/>
    <w:rsid w:val="001B2CBE"/>
    <w:rsid w:val="001B4EA4"/>
    <w:rsid w:val="001B6BF8"/>
    <w:rsid w:val="001B742C"/>
    <w:rsid w:val="001C04EC"/>
    <w:rsid w:val="001C273B"/>
    <w:rsid w:val="001C4312"/>
    <w:rsid w:val="001C5E4F"/>
    <w:rsid w:val="001C6397"/>
    <w:rsid w:val="001D0A2E"/>
    <w:rsid w:val="001D16F4"/>
    <w:rsid w:val="001D21ED"/>
    <w:rsid w:val="001D42D2"/>
    <w:rsid w:val="001D58EE"/>
    <w:rsid w:val="001D6040"/>
    <w:rsid w:val="001D71BD"/>
    <w:rsid w:val="001D7D64"/>
    <w:rsid w:val="001E003C"/>
    <w:rsid w:val="001E060E"/>
    <w:rsid w:val="001E282D"/>
    <w:rsid w:val="001E2EEA"/>
    <w:rsid w:val="001E52BA"/>
    <w:rsid w:val="001E6ADD"/>
    <w:rsid w:val="001F136A"/>
    <w:rsid w:val="001F22DA"/>
    <w:rsid w:val="001F39F0"/>
    <w:rsid w:val="001F3D15"/>
    <w:rsid w:val="001F3E9F"/>
    <w:rsid w:val="001F47EA"/>
    <w:rsid w:val="001F52B2"/>
    <w:rsid w:val="001F5CFC"/>
    <w:rsid w:val="001F674C"/>
    <w:rsid w:val="001F7E1B"/>
    <w:rsid w:val="00201D23"/>
    <w:rsid w:val="00201D51"/>
    <w:rsid w:val="00203042"/>
    <w:rsid w:val="00205F0E"/>
    <w:rsid w:val="00210FFA"/>
    <w:rsid w:val="0021140E"/>
    <w:rsid w:val="0021156F"/>
    <w:rsid w:val="002147F1"/>
    <w:rsid w:val="00214A5F"/>
    <w:rsid w:val="00215521"/>
    <w:rsid w:val="002162F8"/>
    <w:rsid w:val="00216B4F"/>
    <w:rsid w:val="002219C3"/>
    <w:rsid w:val="00221E96"/>
    <w:rsid w:val="002232BA"/>
    <w:rsid w:val="00223388"/>
    <w:rsid w:val="0022647F"/>
    <w:rsid w:val="00226FC8"/>
    <w:rsid w:val="00230F24"/>
    <w:rsid w:val="00231B0D"/>
    <w:rsid w:val="002326A3"/>
    <w:rsid w:val="002338BD"/>
    <w:rsid w:val="0023736F"/>
    <w:rsid w:val="002374F0"/>
    <w:rsid w:val="00241D95"/>
    <w:rsid w:val="00242398"/>
    <w:rsid w:val="00243FDF"/>
    <w:rsid w:val="00244BC0"/>
    <w:rsid w:val="00244D35"/>
    <w:rsid w:val="002450CF"/>
    <w:rsid w:val="00246DB1"/>
    <w:rsid w:val="0024701C"/>
    <w:rsid w:val="002502B4"/>
    <w:rsid w:val="00252796"/>
    <w:rsid w:val="00252AD9"/>
    <w:rsid w:val="002601B8"/>
    <w:rsid w:val="00260B7A"/>
    <w:rsid w:val="00261C46"/>
    <w:rsid w:val="002632DD"/>
    <w:rsid w:val="00265A52"/>
    <w:rsid w:val="0027020A"/>
    <w:rsid w:val="00272843"/>
    <w:rsid w:val="002747B1"/>
    <w:rsid w:val="00281205"/>
    <w:rsid w:val="0028245E"/>
    <w:rsid w:val="00283569"/>
    <w:rsid w:val="002856D7"/>
    <w:rsid w:val="00286025"/>
    <w:rsid w:val="00291C16"/>
    <w:rsid w:val="002932DB"/>
    <w:rsid w:val="00294D5C"/>
    <w:rsid w:val="002A091A"/>
    <w:rsid w:val="002A2B7C"/>
    <w:rsid w:val="002A484E"/>
    <w:rsid w:val="002A6224"/>
    <w:rsid w:val="002A7A94"/>
    <w:rsid w:val="002A7EA3"/>
    <w:rsid w:val="002B07AE"/>
    <w:rsid w:val="002B1178"/>
    <w:rsid w:val="002B15A8"/>
    <w:rsid w:val="002C0C4C"/>
    <w:rsid w:val="002C1078"/>
    <w:rsid w:val="002C136D"/>
    <w:rsid w:val="002C4FCE"/>
    <w:rsid w:val="002C62B2"/>
    <w:rsid w:val="002C66DF"/>
    <w:rsid w:val="002C7479"/>
    <w:rsid w:val="002D09F3"/>
    <w:rsid w:val="002D2A11"/>
    <w:rsid w:val="002D75C2"/>
    <w:rsid w:val="002E0A00"/>
    <w:rsid w:val="002E0F0D"/>
    <w:rsid w:val="002E396C"/>
    <w:rsid w:val="002E6925"/>
    <w:rsid w:val="002E7F4B"/>
    <w:rsid w:val="002F4900"/>
    <w:rsid w:val="002F7529"/>
    <w:rsid w:val="002F75F8"/>
    <w:rsid w:val="002F7E9E"/>
    <w:rsid w:val="003005ED"/>
    <w:rsid w:val="00301EC0"/>
    <w:rsid w:val="00303C40"/>
    <w:rsid w:val="00303CA1"/>
    <w:rsid w:val="00304ACE"/>
    <w:rsid w:val="00304CD3"/>
    <w:rsid w:val="00305B7F"/>
    <w:rsid w:val="00305C1A"/>
    <w:rsid w:val="00307820"/>
    <w:rsid w:val="00307C2B"/>
    <w:rsid w:val="003104B5"/>
    <w:rsid w:val="00310D4F"/>
    <w:rsid w:val="00314613"/>
    <w:rsid w:val="00314FEF"/>
    <w:rsid w:val="00315B37"/>
    <w:rsid w:val="0031686C"/>
    <w:rsid w:val="00320F56"/>
    <w:rsid w:val="00321438"/>
    <w:rsid w:val="003216B2"/>
    <w:rsid w:val="00331BFD"/>
    <w:rsid w:val="0033243C"/>
    <w:rsid w:val="00334A54"/>
    <w:rsid w:val="00334D8F"/>
    <w:rsid w:val="00341E14"/>
    <w:rsid w:val="00342F3B"/>
    <w:rsid w:val="00344529"/>
    <w:rsid w:val="003449F9"/>
    <w:rsid w:val="00345C19"/>
    <w:rsid w:val="00346FC1"/>
    <w:rsid w:val="0035039A"/>
    <w:rsid w:val="00352FF6"/>
    <w:rsid w:val="003551E7"/>
    <w:rsid w:val="0035620B"/>
    <w:rsid w:val="00357298"/>
    <w:rsid w:val="003575F0"/>
    <w:rsid w:val="00357C2B"/>
    <w:rsid w:val="00361D35"/>
    <w:rsid w:val="00363EE5"/>
    <w:rsid w:val="00365060"/>
    <w:rsid w:val="00365605"/>
    <w:rsid w:val="00366450"/>
    <w:rsid w:val="003677FF"/>
    <w:rsid w:val="003701D5"/>
    <w:rsid w:val="0037077A"/>
    <w:rsid w:val="00371EFD"/>
    <w:rsid w:val="0037388A"/>
    <w:rsid w:val="00374CA3"/>
    <w:rsid w:val="00376437"/>
    <w:rsid w:val="0038168D"/>
    <w:rsid w:val="003829A3"/>
    <w:rsid w:val="00386DF3"/>
    <w:rsid w:val="003871CD"/>
    <w:rsid w:val="00392B89"/>
    <w:rsid w:val="00394BE6"/>
    <w:rsid w:val="00395DBA"/>
    <w:rsid w:val="0039616F"/>
    <w:rsid w:val="00397D6F"/>
    <w:rsid w:val="003A070A"/>
    <w:rsid w:val="003A19A9"/>
    <w:rsid w:val="003A2232"/>
    <w:rsid w:val="003A2C1F"/>
    <w:rsid w:val="003A318F"/>
    <w:rsid w:val="003A3489"/>
    <w:rsid w:val="003A51D2"/>
    <w:rsid w:val="003A6B7D"/>
    <w:rsid w:val="003A6D6C"/>
    <w:rsid w:val="003B5E45"/>
    <w:rsid w:val="003B79D5"/>
    <w:rsid w:val="003C1AF7"/>
    <w:rsid w:val="003C73B3"/>
    <w:rsid w:val="003D05CE"/>
    <w:rsid w:val="003D240C"/>
    <w:rsid w:val="003D6FCA"/>
    <w:rsid w:val="003D726B"/>
    <w:rsid w:val="003E06D5"/>
    <w:rsid w:val="003E0E93"/>
    <w:rsid w:val="003E1FF6"/>
    <w:rsid w:val="003E3E96"/>
    <w:rsid w:val="003E4E44"/>
    <w:rsid w:val="003E5E57"/>
    <w:rsid w:val="003F0251"/>
    <w:rsid w:val="003F09A0"/>
    <w:rsid w:val="003F2E91"/>
    <w:rsid w:val="003F387F"/>
    <w:rsid w:val="003F6521"/>
    <w:rsid w:val="00411048"/>
    <w:rsid w:val="004123F3"/>
    <w:rsid w:val="0041456C"/>
    <w:rsid w:val="00415658"/>
    <w:rsid w:val="00415E2A"/>
    <w:rsid w:val="00416ADB"/>
    <w:rsid w:val="00420E1D"/>
    <w:rsid w:val="00420EAF"/>
    <w:rsid w:val="004223E2"/>
    <w:rsid w:val="00424530"/>
    <w:rsid w:val="00426221"/>
    <w:rsid w:val="004267DF"/>
    <w:rsid w:val="00427D7C"/>
    <w:rsid w:val="004356FA"/>
    <w:rsid w:val="004358BF"/>
    <w:rsid w:val="00436F6E"/>
    <w:rsid w:val="0044004A"/>
    <w:rsid w:val="00440309"/>
    <w:rsid w:val="00441826"/>
    <w:rsid w:val="00444147"/>
    <w:rsid w:val="004447BA"/>
    <w:rsid w:val="004452CF"/>
    <w:rsid w:val="00446497"/>
    <w:rsid w:val="0044687E"/>
    <w:rsid w:val="004502A9"/>
    <w:rsid w:val="00450635"/>
    <w:rsid w:val="00452849"/>
    <w:rsid w:val="004536BC"/>
    <w:rsid w:val="00454226"/>
    <w:rsid w:val="0045596A"/>
    <w:rsid w:val="00460D40"/>
    <w:rsid w:val="00463488"/>
    <w:rsid w:val="00465BEE"/>
    <w:rsid w:val="00466893"/>
    <w:rsid w:val="00466DAE"/>
    <w:rsid w:val="004706C3"/>
    <w:rsid w:val="004723BF"/>
    <w:rsid w:val="004732C8"/>
    <w:rsid w:val="004734AE"/>
    <w:rsid w:val="004749FF"/>
    <w:rsid w:val="00476DC6"/>
    <w:rsid w:val="00477ED6"/>
    <w:rsid w:val="00480735"/>
    <w:rsid w:val="00485457"/>
    <w:rsid w:val="004902EE"/>
    <w:rsid w:val="00491362"/>
    <w:rsid w:val="00491A28"/>
    <w:rsid w:val="00496193"/>
    <w:rsid w:val="00496197"/>
    <w:rsid w:val="004976DD"/>
    <w:rsid w:val="00497AC2"/>
    <w:rsid w:val="004A543A"/>
    <w:rsid w:val="004A7711"/>
    <w:rsid w:val="004B110D"/>
    <w:rsid w:val="004B1321"/>
    <w:rsid w:val="004B194D"/>
    <w:rsid w:val="004B3698"/>
    <w:rsid w:val="004B65E6"/>
    <w:rsid w:val="004B761F"/>
    <w:rsid w:val="004C1F77"/>
    <w:rsid w:val="004C26F4"/>
    <w:rsid w:val="004C54AE"/>
    <w:rsid w:val="004C6835"/>
    <w:rsid w:val="004D0ADB"/>
    <w:rsid w:val="004D17E4"/>
    <w:rsid w:val="004D2DD0"/>
    <w:rsid w:val="004D2DEB"/>
    <w:rsid w:val="004D3AD9"/>
    <w:rsid w:val="004D421F"/>
    <w:rsid w:val="004D4B49"/>
    <w:rsid w:val="004D53AD"/>
    <w:rsid w:val="004D76F9"/>
    <w:rsid w:val="004D79C6"/>
    <w:rsid w:val="004D7B22"/>
    <w:rsid w:val="004D7CB5"/>
    <w:rsid w:val="004E04D5"/>
    <w:rsid w:val="004E1743"/>
    <w:rsid w:val="004E3DA1"/>
    <w:rsid w:val="004E5AEF"/>
    <w:rsid w:val="004E5D6F"/>
    <w:rsid w:val="004E6B54"/>
    <w:rsid w:val="004E6CF5"/>
    <w:rsid w:val="004E79BA"/>
    <w:rsid w:val="004F70FE"/>
    <w:rsid w:val="00500A6E"/>
    <w:rsid w:val="00501568"/>
    <w:rsid w:val="00504794"/>
    <w:rsid w:val="00505E5E"/>
    <w:rsid w:val="00507722"/>
    <w:rsid w:val="0051140E"/>
    <w:rsid w:val="00512CC0"/>
    <w:rsid w:val="005136A3"/>
    <w:rsid w:val="0051508F"/>
    <w:rsid w:val="00517191"/>
    <w:rsid w:val="00520786"/>
    <w:rsid w:val="0052220F"/>
    <w:rsid w:val="00522247"/>
    <w:rsid w:val="0052427A"/>
    <w:rsid w:val="00524645"/>
    <w:rsid w:val="005250AA"/>
    <w:rsid w:val="00527291"/>
    <w:rsid w:val="0052760D"/>
    <w:rsid w:val="00530DDA"/>
    <w:rsid w:val="005314FF"/>
    <w:rsid w:val="00532A20"/>
    <w:rsid w:val="00532C2F"/>
    <w:rsid w:val="00533C46"/>
    <w:rsid w:val="00534F6A"/>
    <w:rsid w:val="00535125"/>
    <w:rsid w:val="00536C7B"/>
    <w:rsid w:val="00540286"/>
    <w:rsid w:val="005428A3"/>
    <w:rsid w:val="00545FD6"/>
    <w:rsid w:val="005511F4"/>
    <w:rsid w:val="00551424"/>
    <w:rsid w:val="00553ACE"/>
    <w:rsid w:val="00554247"/>
    <w:rsid w:val="0055609D"/>
    <w:rsid w:val="005623D3"/>
    <w:rsid w:val="005625A5"/>
    <w:rsid w:val="00563197"/>
    <w:rsid w:val="0056380C"/>
    <w:rsid w:val="0056489B"/>
    <w:rsid w:val="00565988"/>
    <w:rsid w:val="00575AE5"/>
    <w:rsid w:val="005829A9"/>
    <w:rsid w:val="00584C7E"/>
    <w:rsid w:val="005869D0"/>
    <w:rsid w:val="0059113F"/>
    <w:rsid w:val="0059211A"/>
    <w:rsid w:val="0059335B"/>
    <w:rsid w:val="005935C9"/>
    <w:rsid w:val="00594177"/>
    <w:rsid w:val="0059761E"/>
    <w:rsid w:val="005A0275"/>
    <w:rsid w:val="005A0CCB"/>
    <w:rsid w:val="005A1BD0"/>
    <w:rsid w:val="005A2EDF"/>
    <w:rsid w:val="005A436F"/>
    <w:rsid w:val="005A4B57"/>
    <w:rsid w:val="005A5494"/>
    <w:rsid w:val="005A5ADC"/>
    <w:rsid w:val="005B2C8B"/>
    <w:rsid w:val="005B30BD"/>
    <w:rsid w:val="005B3C43"/>
    <w:rsid w:val="005B4AC1"/>
    <w:rsid w:val="005B4FA4"/>
    <w:rsid w:val="005B634B"/>
    <w:rsid w:val="005B6A82"/>
    <w:rsid w:val="005C1098"/>
    <w:rsid w:val="005C1722"/>
    <w:rsid w:val="005C34BA"/>
    <w:rsid w:val="005C3BD3"/>
    <w:rsid w:val="005C4F34"/>
    <w:rsid w:val="005C6931"/>
    <w:rsid w:val="005D0F96"/>
    <w:rsid w:val="005D123A"/>
    <w:rsid w:val="005D18CE"/>
    <w:rsid w:val="005D2263"/>
    <w:rsid w:val="005D2343"/>
    <w:rsid w:val="005D270F"/>
    <w:rsid w:val="005D32E4"/>
    <w:rsid w:val="005D4CB1"/>
    <w:rsid w:val="005E373F"/>
    <w:rsid w:val="005E44F1"/>
    <w:rsid w:val="005E6537"/>
    <w:rsid w:val="005E7AFB"/>
    <w:rsid w:val="005F10DA"/>
    <w:rsid w:val="005F22D0"/>
    <w:rsid w:val="005F2F01"/>
    <w:rsid w:val="005F44F8"/>
    <w:rsid w:val="005F5ED3"/>
    <w:rsid w:val="005F7812"/>
    <w:rsid w:val="00601192"/>
    <w:rsid w:val="00602E59"/>
    <w:rsid w:val="006033F6"/>
    <w:rsid w:val="0060426B"/>
    <w:rsid w:val="00606579"/>
    <w:rsid w:val="00607551"/>
    <w:rsid w:val="00610CFB"/>
    <w:rsid w:val="00611AA8"/>
    <w:rsid w:val="006121AF"/>
    <w:rsid w:val="0061448A"/>
    <w:rsid w:val="0061488E"/>
    <w:rsid w:val="006150B5"/>
    <w:rsid w:val="00615A1C"/>
    <w:rsid w:val="00620D10"/>
    <w:rsid w:val="00621083"/>
    <w:rsid w:val="00622907"/>
    <w:rsid w:val="006239F0"/>
    <w:rsid w:val="00625D5D"/>
    <w:rsid w:val="00625E2B"/>
    <w:rsid w:val="00626616"/>
    <w:rsid w:val="0062706A"/>
    <w:rsid w:val="00627392"/>
    <w:rsid w:val="006343E9"/>
    <w:rsid w:val="006357E2"/>
    <w:rsid w:val="00635A62"/>
    <w:rsid w:val="00636E17"/>
    <w:rsid w:val="00637A2E"/>
    <w:rsid w:val="00641377"/>
    <w:rsid w:val="00642B27"/>
    <w:rsid w:val="00647FFB"/>
    <w:rsid w:val="00650269"/>
    <w:rsid w:val="00650D2F"/>
    <w:rsid w:val="00651E69"/>
    <w:rsid w:val="006529F2"/>
    <w:rsid w:val="00652DFA"/>
    <w:rsid w:val="00653895"/>
    <w:rsid w:val="00653A23"/>
    <w:rsid w:val="0065648A"/>
    <w:rsid w:val="00657EA2"/>
    <w:rsid w:val="006607C7"/>
    <w:rsid w:val="0066257D"/>
    <w:rsid w:val="00662EB3"/>
    <w:rsid w:val="00663D61"/>
    <w:rsid w:val="00663FCF"/>
    <w:rsid w:val="00664420"/>
    <w:rsid w:val="00666B01"/>
    <w:rsid w:val="006701F7"/>
    <w:rsid w:val="00670C5D"/>
    <w:rsid w:val="00671C61"/>
    <w:rsid w:val="00671F7D"/>
    <w:rsid w:val="0067650F"/>
    <w:rsid w:val="00677908"/>
    <w:rsid w:val="00677F9B"/>
    <w:rsid w:val="0068173C"/>
    <w:rsid w:val="00685675"/>
    <w:rsid w:val="00686AD0"/>
    <w:rsid w:val="00686D8B"/>
    <w:rsid w:val="00687CED"/>
    <w:rsid w:val="0069079E"/>
    <w:rsid w:val="006910F4"/>
    <w:rsid w:val="00695310"/>
    <w:rsid w:val="00695D6B"/>
    <w:rsid w:val="00697A5C"/>
    <w:rsid w:val="006A3361"/>
    <w:rsid w:val="006A33B9"/>
    <w:rsid w:val="006A3FAB"/>
    <w:rsid w:val="006A4375"/>
    <w:rsid w:val="006A5C30"/>
    <w:rsid w:val="006A7377"/>
    <w:rsid w:val="006B03E6"/>
    <w:rsid w:val="006B0E32"/>
    <w:rsid w:val="006C1CEE"/>
    <w:rsid w:val="006C309A"/>
    <w:rsid w:val="006C6146"/>
    <w:rsid w:val="006C624C"/>
    <w:rsid w:val="006C66E4"/>
    <w:rsid w:val="006D0E09"/>
    <w:rsid w:val="006D15F0"/>
    <w:rsid w:val="006D17E4"/>
    <w:rsid w:val="006D2426"/>
    <w:rsid w:val="006D2780"/>
    <w:rsid w:val="006D6FBC"/>
    <w:rsid w:val="006E04FE"/>
    <w:rsid w:val="006E45AE"/>
    <w:rsid w:val="006E550F"/>
    <w:rsid w:val="006E57D8"/>
    <w:rsid w:val="006E6692"/>
    <w:rsid w:val="006E66A3"/>
    <w:rsid w:val="006E7FC7"/>
    <w:rsid w:val="006F0A72"/>
    <w:rsid w:val="006F62E5"/>
    <w:rsid w:val="00700F21"/>
    <w:rsid w:val="0070401D"/>
    <w:rsid w:val="00705423"/>
    <w:rsid w:val="00710A32"/>
    <w:rsid w:val="0071191A"/>
    <w:rsid w:val="0071478C"/>
    <w:rsid w:val="0071630C"/>
    <w:rsid w:val="00716F19"/>
    <w:rsid w:val="007206D3"/>
    <w:rsid w:val="00721249"/>
    <w:rsid w:val="00722C7E"/>
    <w:rsid w:val="007245B5"/>
    <w:rsid w:val="00726BB3"/>
    <w:rsid w:val="00727139"/>
    <w:rsid w:val="007277F5"/>
    <w:rsid w:val="007314DD"/>
    <w:rsid w:val="007341A9"/>
    <w:rsid w:val="00743BB3"/>
    <w:rsid w:val="007444F5"/>
    <w:rsid w:val="0074484C"/>
    <w:rsid w:val="007456A1"/>
    <w:rsid w:val="00746E19"/>
    <w:rsid w:val="007506F4"/>
    <w:rsid w:val="00752150"/>
    <w:rsid w:val="00756B2F"/>
    <w:rsid w:val="00761F02"/>
    <w:rsid w:val="00762689"/>
    <w:rsid w:val="00764FBF"/>
    <w:rsid w:val="0076619F"/>
    <w:rsid w:val="00766BB5"/>
    <w:rsid w:val="007700D4"/>
    <w:rsid w:val="0077138B"/>
    <w:rsid w:val="00774015"/>
    <w:rsid w:val="0077517A"/>
    <w:rsid w:val="007757B9"/>
    <w:rsid w:val="00776665"/>
    <w:rsid w:val="00777A8E"/>
    <w:rsid w:val="00780172"/>
    <w:rsid w:val="00785FFF"/>
    <w:rsid w:val="00790E48"/>
    <w:rsid w:val="00792453"/>
    <w:rsid w:val="00792746"/>
    <w:rsid w:val="00792BFD"/>
    <w:rsid w:val="00794069"/>
    <w:rsid w:val="0079529C"/>
    <w:rsid w:val="00795CAF"/>
    <w:rsid w:val="00795FC8"/>
    <w:rsid w:val="00796282"/>
    <w:rsid w:val="00796513"/>
    <w:rsid w:val="00796A79"/>
    <w:rsid w:val="007972A1"/>
    <w:rsid w:val="00797804"/>
    <w:rsid w:val="007A14A0"/>
    <w:rsid w:val="007A16A5"/>
    <w:rsid w:val="007A4C07"/>
    <w:rsid w:val="007A4DD0"/>
    <w:rsid w:val="007A5018"/>
    <w:rsid w:val="007B0E11"/>
    <w:rsid w:val="007B15CC"/>
    <w:rsid w:val="007B3207"/>
    <w:rsid w:val="007B3C28"/>
    <w:rsid w:val="007B5A00"/>
    <w:rsid w:val="007B607F"/>
    <w:rsid w:val="007B7D25"/>
    <w:rsid w:val="007C236B"/>
    <w:rsid w:val="007C4093"/>
    <w:rsid w:val="007C5A3E"/>
    <w:rsid w:val="007C5EB5"/>
    <w:rsid w:val="007C63DC"/>
    <w:rsid w:val="007C67C0"/>
    <w:rsid w:val="007C6FF7"/>
    <w:rsid w:val="007C7370"/>
    <w:rsid w:val="007C7E0B"/>
    <w:rsid w:val="007D0A4A"/>
    <w:rsid w:val="007D0FE7"/>
    <w:rsid w:val="007D14EC"/>
    <w:rsid w:val="007D387E"/>
    <w:rsid w:val="007D5BF0"/>
    <w:rsid w:val="007D5FFB"/>
    <w:rsid w:val="007E19DC"/>
    <w:rsid w:val="007E4FD3"/>
    <w:rsid w:val="007E62EA"/>
    <w:rsid w:val="007F0767"/>
    <w:rsid w:val="007F2C63"/>
    <w:rsid w:val="007F3568"/>
    <w:rsid w:val="007F36E9"/>
    <w:rsid w:val="007F3C5F"/>
    <w:rsid w:val="007F5FD8"/>
    <w:rsid w:val="00800461"/>
    <w:rsid w:val="0080162E"/>
    <w:rsid w:val="00802970"/>
    <w:rsid w:val="00803855"/>
    <w:rsid w:val="00806E84"/>
    <w:rsid w:val="00806EE5"/>
    <w:rsid w:val="00810A79"/>
    <w:rsid w:val="0081185F"/>
    <w:rsid w:val="00813046"/>
    <w:rsid w:val="00815BFB"/>
    <w:rsid w:val="00816508"/>
    <w:rsid w:val="0081681B"/>
    <w:rsid w:val="00820904"/>
    <w:rsid w:val="008209B1"/>
    <w:rsid w:val="00822A14"/>
    <w:rsid w:val="00823166"/>
    <w:rsid w:val="00827ECF"/>
    <w:rsid w:val="00835332"/>
    <w:rsid w:val="00836728"/>
    <w:rsid w:val="0083683C"/>
    <w:rsid w:val="00840988"/>
    <w:rsid w:val="008428F4"/>
    <w:rsid w:val="00845F3A"/>
    <w:rsid w:val="0084640E"/>
    <w:rsid w:val="008469CB"/>
    <w:rsid w:val="0085014F"/>
    <w:rsid w:val="00850A48"/>
    <w:rsid w:val="008532C5"/>
    <w:rsid w:val="00853971"/>
    <w:rsid w:val="00854073"/>
    <w:rsid w:val="008566DA"/>
    <w:rsid w:val="00857563"/>
    <w:rsid w:val="008577B3"/>
    <w:rsid w:val="00861ABB"/>
    <w:rsid w:val="00862EB4"/>
    <w:rsid w:val="00864223"/>
    <w:rsid w:val="00864831"/>
    <w:rsid w:val="00865886"/>
    <w:rsid w:val="0086666E"/>
    <w:rsid w:val="00872783"/>
    <w:rsid w:val="008728FA"/>
    <w:rsid w:val="00873E77"/>
    <w:rsid w:val="008758C4"/>
    <w:rsid w:val="008815C0"/>
    <w:rsid w:val="008819E4"/>
    <w:rsid w:val="008855B1"/>
    <w:rsid w:val="00886A43"/>
    <w:rsid w:val="0089347E"/>
    <w:rsid w:val="00895D37"/>
    <w:rsid w:val="0089606C"/>
    <w:rsid w:val="008A0366"/>
    <w:rsid w:val="008A0B37"/>
    <w:rsid w:val="008A14C7"/>
    <w:rsid w:val="008A2002"/>
    <w:rsid w:val="008A24ED"/>
    <w:rsid w:val="008A7D5A"/>
    <w:rsid w:val="008A7D7D"/>
    <w:rsid w:val="008B0741"/>
    <w:rsid w:val="008B7F17"/>
    <w:rsid w:val="008C1865"/>
    <w:rsid w:val="008C264F"/>
    <w:rsid w:val="008C5861"/>
    <w:rsid w:val="008C609E"/>
    <w:rsid w:val="008D0CB4"/>
    <w:rsid w:val="008D2BEF"/>
    <w:rsid w:val="008D74F5"/>
    <w:rsid w:val="008E09DF"/>
    <w:rsid w:val="008E1BCC"/>
    <w:rsid w:val="008E35B6"/>
    <w:rsid w:val="008E4B88"/>
    <w:rsid w:val="008F0944"/>
    <w:rsid w:val="00900D52"/>
    <w:rsid w:val="009011CD"/>
    <w:rsid w:val="00904CE7"/>
    <w:rsid w:val="00904F67"/>
    <w:rsid w:val="009055D0"/>
    <w:rsid w:val="00905C3E"/>
    <w:rsid w:val="00907B39"/>
    <w:rsid w:val="009102B3"/>
    <w:rsid w:val="009109E2"/>
    <w:rsid w:val="00911E3F"/>
    <w:rsid w:val="00912F24"/>
    <w:rsid w:val="0091480D"/>
    <w:rsid w:val="00915565"/>
    <w:rsid w:val="0092003C"/>
    <w:rsid w:val="00920564"/>
    <w:rsid w:val="00921ABE"/>
    <w:rsid w:val="00922712"/>
    <w:rsid w:val="00924AFB"/>
    <w:rsid w:val="00925269"/>
    <w:rsid w:val="009259BA"/>
    <w:rsid w:val="00927A21"/>
    <w:rsid w:val="00932364"/>
    <w:rsid w:val="00932EDB"/>
    <w:rsid w:val="009336CE"/>
    <w:rsid w:val="009366BC"/>
    <w:rsid w:val="00937955"/>
    <w:rsid w:val="0094000A"/>
    <w:rsid w:val="00941F49"/>
    <w:rsid w:val="00943876"/>
    <w:rsid w:val="00944192"/>
    <w:rsid w:val="00944E7A"/>
    <w:rsid w:val="00945910"/>
    <w:rsid w:val="009459A0"/>
    <w:rsid w:val="00947036"/>
    <w:rsid w:val="00962314"/>
    <w:rsid w:val="00962BB7"/>
    <w:rsid w:val="00964B78"/>
    <w:rsid w:val="00965A05"/>
    <w:rsid w:val="00972D2C"/>
    <w:rsid w:val="00974049"/>
    <w:rsid w:val="00974E71"/>
    <w:rsid w:val="009764CD"/>
    <w:rsid w:val="00983A64"/>
    <w:rsid w:val="0098521F"/>
    <w:rsid w:val="00986A8E"/>
    <w:rsid w:val="00990636"/>
    <w:rsid w:val="009910CE"/>
    <w:rsid w:val="009927D3"/>
    <w:rsid w:val="009948EA"/>
    <w:rsid w:val="009949F8"/>
    <w:rsid w:val="00995991"/>
    <w:rsid w:val="00997119"/>
    <w:rsid w:val="00997F09"/>
    <w:rsid w:val="009A066E"/>
    <w:rsid w:val="009A0F1D"/>
    <w:rsid w:val="009A24C0"/>
    <w:rsid w:val="009A3682"/>
    <w:rsid w:val="009A3CD4"/>
    <w:rsid w:val="009A4DC0"/>
    <w:rsid w:val="009A607E"/>
    <w:rsid w:val="009C0B56"/>
    <w:rsid w:val="009C29F1"/>
    <w:rsid w:val="009C3925"/>
    <w:rsid w:val="009C3D6A"/>
    <w:rsid w:val="009C62A6"/>
    <w:rsid w:val="009C6325"/>
    <w:rsid w:val="009C677C"/>
    <w:rsid w:val="009C7D52"/>
    <w:rsid w:val="009D0F93"/>
    <w:rsid w:val="009D1A87"/>
    <w:rsid w:val="009D33FD"/>
    <w:rsid w:val="009D684D"/>
    <w:rsid w:val="009D6EAC"/>
    <w:rsid w:val="009E2D1B"/>
    <w:rsid w:val="009E6339"/>
    <w:rsid w:val="009E684C"/>
    <w:rsid w:val="009E7ADC"/>
    <w:rsid w:val="009F104F"/>
    <w:rsid w:val="009F1777"/>
    <w:rsid w:val="009F3659"/>
    <w:rsid w:val="009F3C1F"/>
    <w:rsid w:val="009F4411"/>
    <w:rsid w:val="009F724D"/>
    <w:rsid w:val="00A02733"/>
    <w:rsid w:val="00A0488A"/>
    <w:rsid w:val="00A07480"/>
    <w:rsid w:val="00A10BEC"/>
    <w:rsid w:val="00A13DAA"/>
    <w:rsid w:val="00A20358"/>
    <w:rsid w:val="00A21EEC"/>
    <w:rsid w:val="00A22AD9"/>
    <w:rsid w:val="00A26608"/>
    <w:rsid w:val="00A26DBA"/>
    <w:rsid w:val="00A30D20"/>
    <w:rsid w:val="00A34349"/>
    <w:rsid w:val="00A34A78"/>
    <w:rsid w:val="00A35556"/>
    <w:rsid w:val="00A37D6E"/>
    <w:rsid w:val="00A41ECA"/>
    <w:rsid w:val="00A41FD8"/>
    <w:rsid w:val="00A42439"/>
    <w:rsid w:val="00A42F07"/>
    <w:rsid w:val="00A4577A"/>
    <w:rsid w:val="00A45B58"/>
    <w:rsid w:val="00A45F4E"/>
    <w:rsid w:val="00A463FA"/>
    <w:rsid w:val="00A46665"/>
    <w:rsid w:val="00A474BB"/>
    <w:rsid w:val="00A47A52"/>
    <w:rsid w:val="00A47BB6"/>
    <w:rsid w:val="00A52226"/>
    <w:rsid w:val="00A556F9"/>
    <w:rsid w:val="00A60526"/>
    <w:rsid w:val="00A6121B"/>
    <w:rsid w:val="00A63CCE"/>
    <w:rsid w:val="00A66FD9"/>
    <w:rsid w:val="00A67C2F"/>
    <w:rsid w:val="00A709A6"/>
    <w:rsid w:val="00A70A68"/>
    <w:rsid w:val="00A72A37"/>
    <w:rsid w:val="00A72E8A"/>
    <w:rsid w:val="00A749FE"/>
    <w:rsid w:val="00A76371"/>
    <w:rsid w:val="00A7695C"/>
    <w:rsid w:val="00A77869"/>
    <w:rsid w:val="00A77B97"/>
    <w:rsid w:val="00A77FBB"/>
    <w:rsid w:val="00A813D3"/>
    <w:rsid w:val="00A81B3F"/>
    <w:rsid w:val="00A82121"/>
    <w:rsid w:val="00A83EA1"/>
    <w:rsid w:val="00A84489"/>
    <w:rsid w:val="00A84CB8"/>
    <w:rsid w:val="00A84D04"/>
    <w:rsid w:val="00A85786"/>
    <w:rsid w:val="00A86E4F"/>
    <w:rsid w:val="00A87E85"/>
    <w:rsid w:val="00A90B7D"/>
    <w:rsid w:val="00A94E13"/>
    <w:rsid w:val="00A9582B"/>
    <w:rsid w:val="00A978F7"/>
    <w:rsid w:val="00AA27DE"/>
    <w:rsid w:val="00AA3B86"/>
    <w:rsid w:val="00AB01AE"/>
    <w:rsid w:val="00AB0897"/>
    <w:rsid w:val="00AB1E1C"/>
    <w:rsid w:val="00AB1FD0"/>
    <w:rsid w:val="00AB408D"/>
    <w:rsid w:val="00AB4185"/>
    <w:rsid w:val="00AB449C"/>
    <w:rsid w:val="00AB5871"/>
    <w:rsid w:val="00AB78F7"/>
    <w:rsid w:val="00AB79E6"/>
    <w:rsid w:val="00AC02B0"/>
    <w:rsid w:val="00AC19D4"/>
    <w:rsid w:val="00AC5146"/>
    <w:rsid w:val="00AC6286"/>
    <w:rsid w:val="00AC7654"/>
    <w:rsid w:val="00AC7D0A"/>
    <w:rsid w:val="00AD3A88"/>
    <w:rsid w:val="00AD3C06"/>
    <w:rsid w:val="00AD5A81"/>
    <w:rsid w:val="00AD65C3"/>
    <w:rsid w:val="00AD6B26"/>
    <w:rsid w:val="00AD72F9"/>
    <w:rsid w:val="00AE0D9F"/>
    <w:rsid w:val="00AE101E"/>
    <w:rsid w:val="00AE1673"/>
    <w:rsid w:val="00AE1B22"/>
    <w:rsid w:val="00AE2602"/>
    <w:rsid w:val="00AE4D4E"/>
    <w:rsid w:val="00AE7343"/>
    <w:rsid w:val="00AF0543"/>
    <w:rsid w:val="00AF1EDF"/>
    <w:rsid w:val="00AF4209"/>
    <w:rsid w:val="00B0000F"/>
    <w:rsid w:val="00B0175A"/>
    <w:rsid w:val="00B02384"/>
    <w:rsid w:val="00B03E42"/>
    <w:rsid w:val="00B059B2"/>
    <w:rsid w:val="00B10DDD"/>
    <w:rsid w:val="00B122D9"/>
    <w:rsid w:val="00B131E4"/>
    <w:rsid w:val="00B14192"/>
    <w:rsid w:val="00B14650"/>
    <w:rsid w:val="00B16C27"/>
    <w:rsid w:val="00B16FD9"/>
    <w:rsid w:val="00B17DCD"/>
    <w:rsid w:val="00B17FE6"/>
    <w:rsid w:val="00B213C5"/>
    <w:rsid w:val="00B21695"/>
    <w:rsid w:val="00B221FC"/>
    <w:rsid w:val="00B24C60"/>
    <w:rsid w:val="00B25D7D"/>
    <w:rsid w:val="00B262CD"/>
    <w:rsid w:val="00B267B6"/>
    <w:rsid w:val="00B307A8"/>
    <w:rsid w:val="00B3446F"/>
    <w:rsid w:val="00B34880"/>
    <w:rsid w:val="00B34AC4"/>
    <w:rsid w:val="00B37604"/>
    <w:rsid w:val="00B40024"/>
    <w:rsid w:val="00B40850"/>
    <w:rsid w:val="00B419AF"/>
    <w:rsid w:val="00B42586"/>
    <w:rsid w:val="00B43007"/>
    <w:rsid w:val="00B44DD1"/>
    <w:rsid w:val="00B46A3F"/>
    <w:rsid w:val="00B47FDF"/>
    <w:rsid w:val="00B502B9"/>
    <w:rsid w:val="00B52AA5"/>
    <w:rsid w:val="00B56D3A"/>
    <w:rsid w:val="00B61672"/>
    <w:rsid w:val="00B637CB"/>
    <w:rsid w:val="00B64586"/>
    <w:rsid w:val="00B655E5"/>
    <w:rsid w:val="00B6725E"/>
    <w:rsid w:val="00B711C5"/>
    <w:rsid w:val="00B71207"/>
    <w:rsid w:val="00B72D30"/>
    <w:rsid w:val="00B76110"/>
    <w:rsid w:val="00B764F6"/>
    <w:rsid w:val="00B775BD"/>
    <w:rsid w:val="00B848AD"/>
    <w:rsid w:val="00B879D5"/>
    <w:rsid w:val="00B935DC"/>
    <w:rsid w:val="00B93CB2"/>
    <w:rsid w:val="00B953A7"/>
    <w:rsid w:val="00B96553"/>
    <w:rsid w:val="00B9714B"/>
    <w:rsid w:val="00B9774A"/>
    <w:rsid w:val="00BA2238"/>
    <w:rsid w:val="00BA2E2B"/>
    <w:rsid w:val="00BA563D"/>
    <w:rsid w:val="00BA682C"/>
    <w:rsid w:val="00BA6849"/>
    <w:rsid w:val="00BB4425"/>
    <w:rsid w:val="00BB5811"/>
    <w:rsid w:val="00BB5992"/>
    <w:rsid w:val="00BB68F2"/>
    <w:rsid w:val="00BB7EBC"/>
    <w:rsid w:val="00BC12AF"/>
    <w:rsid w:val="00BC14DB"/>
    <w:rsid w:val="00BC487C"/>
    <w:rsid w:val="00BC4C9E"/>
    <w:rsid w:val="00BC4F1A"/>
    <w:rsid w:val="00BC6580"/>
    <w:rsid w:val="00BD18F7"/>
    <w:rsid w:val="00BD2996"/>
    <w:rsid w:val="00BD2FAA"/>
    <w:rsid w:val="00BD42D6"/>
    <w:rsid w:val="00BE1618"/>
    <w:rsid w:val="00BE2785"/>
    <w:rsid w:val="00BE28A3"/>
    <w:rsid w:val="00BE2EC6"/>
    <w:rsid w:val="00BF064A"/>
    <w:rsid w:val="00BF1F2C"/>
    <w:rsid w:val="00BF3AC1"/>
    <w:rsid w:val="00BF4564"/>
    <w:rsid w:val="00BF582C"/>
    <w:rsid w:val="00C00FC3"/>
    <w:rsid w:val="00C01F42"/>
    <w:rsid w:val="00C06244"/>
    <w:rsid w:val="00C125AB"/>
    <w:rsid w:val="00C1656C"/>
    <w:rsid w:val="00C16DE9"/>
    <w:rsid w:val="00C170F8"/>
    <w:rsid w:val="00C17650"/>
    <w:rsid w:val="00C17806"/>
    <w:rsid w:val="00C235A0"/>
    <w:rsid w:val="00C271C5"/>
    <w:rsid w:val="00C30694"/>
    <w:rsid w:val="00C316EA"/>
    <w:rsid w:val="00C34BE7"/>
    <w:rsid w:val="00C37495"/>
    <w:rsid w:val="00C41086"/>
    <w:rsid w:val="00C44191"/>
    <w:rsid w:val="00C44E91"/>
    <w:rsid w:val="00C45F1A"/>
    <w:rsid w:val="00C468AE"/>
    <w:rsid w:val="00C5114F"/>
    <w:rsid w:val="00C52FEE"/>
    <w:rsid w:val="00C53359"/>
    <w:rsid w:val="00C5341B"/>
    <w:rsid w:val="00C5459E"/>
    <w:rsid w:val="00C55B7A"/>
    <w:rsid w:val="00C57A33"/>
    <w:rsid w:val="00C61064"/>
    <w:rsid w:val="00C61C2C"/>
    <w:rsid w:val="00C62E34"/>
    <w:rsid w:val="00C635D2"/>
    <w:rsid w:val="00C63DB0"/>
    <w:rsid w:val="00C65100"/>
    <w:rsid w:val="00C65F59"/>
    <w:rsid w:val="00C67DF1"/>
    <w:rsid w:val="00C67EFE"/>
    <w:rsid w:val="00C74484"/>
    <w:rsid w:val="00C74D9C"/>
    <w:rsid w:val="00C7505B"/>
    <w:rsid w:val="00C770D4"/>
    <w:rsid w:val="00C77B1D"/>
    <w:rsid w:val="00C8076F"/>
    <w:rsid w:val="00C8323B"/>
    <w:rsid w:val="00C84CAA"/>
    <w:rsid w:val="00C85DB6"/>
    <w:rsid w:val="00C865B9"/>
    <w:rsid w:val="00C868F8"/>
    <w:rsid w:val="00C87FDD"/>
    <w:rsid w:val="00C9346A"/>
    <w:rsid w:val="00C9500A"/>
    <w:rsid w:val="00C95260"/>
    <w:rsid w:val="00C95B6C"/>
    <w:rsid w:val="00C96269"/>
    <w:rsid w:val="00CA043C"/>
    <w:rsid w:val="00CA04FE"/>
    <w:rsid w:val="00CA0535"/>
    <w:rsid w:val="00CA300E"/>
    <w:rsid w:val="00CA32C0"/>
    <w:rsid w:val="00CA4100"/>
    <w:rsid w:val="00CA7A1D"/>
    <w:rsid w:val="00CB0341"/>
    <w:rsid w:val="00CB1F47"/>
    <w:rsid w:val="00CB23A9"/>
    <w:rsid w:val="00CB401E"/>
    <w:rsid w:val="00CC4D2A"/>
    <w:rsid w:val="00CD17AC"/>
    <w:rsid w:val="00CD1D61"/>
    <w:rsid w:val="00CD4584"/>
    <w:rsid w:val="00CE07DA"/>
    <w:rsid w:val="00CE6267"/>
    <w:rsid w:val="00CF0E96"/>
    <w:rsid w:val="00CF113C"/>
    <w:rsid w:val="00CF1367"/>
    <w:rsid w:val="00CF3EC9"/>
    <w:rsid w:val="00CF5B1F"/>
    <w:rsid w:val="00D04EB1"/>
    <w:rsid w:val="00D0640D"/>
    <w:rsid w:val="00D101AB"/>
    <w:rsid w:val="00D10EC0"/>
    <w:rsid w:val="00D12BD6"/>
    <w:rsid w:val="00D12D18"/>
    <w:rsid w:val="00D13053"/>
    <w:rsid w:val="00D1398C"/>
    <w:rsid w:val="00D16D1A"/>
    <w:rsid w:val="00D17EE7"/>
    <w:rsid w:val="00D24442"/>
    <w:rsid w:val="00D2484D"/>
    <w:rsid w:val="00D24BD1"/>
    <w:rsid w:val="00D2542D"/>
    <w:rsid w:val="00D30962"/>
    <w:rsid w:val="00D30E81"/>
    <w:rsid w:val="00D31777"/>
    <w:rsid w:val="00D31C60"/>
    <w:rsid w:val="00D323CF"/>
    <w:rsid w:val="00D329BB"/>
    <w:rsid w:val="00D32EBE"/>
    <w:rsid w:val="00D35260"/>
    <w:rsid w:val="00D3645D"/>
    <w:rsid w:val="00D40165"/>
    <w:rsid w:val="00D410CA"/>
    <w:rsid w:val="00D417C5"/>
    <w:rsid w:val="00D4210F"/>
    <w:rsid w:val="00D4214B"/>
    <w:rsid w:val="00D42500"/>
    <w:rsid w:val="00D4443A"/>
    <w:rsid w:val="00D47B7C"/>
    <w:rsid w:val="00D47DC8"/>
    <w:rsid w:val="00D52F57"/>
    <w:rsid w:val="00D55781"/>
    <w:rsid w:val="00D6152C"/>
    <w:rsid w:val="00D64DEF"/>
    <w:rsid w:val="00D674F3"/>
    <w:rsid w:val="00D70863"/>
    <w:rsid w:val="00D70A25"/>
    <w:rsid w:val="00D71A72"/>
    <w:rsid w:val="00D736D1"/>
    <w:rsid w:val="00D80C1E"/>
    <w:rsid w:val="00D811D4"/>
    <w:rsid w:val="00D820DB"/>
    <w:rsid w:val="00D8216D"/>
    <w:rsid w:val="00D83F2F"/>
    <w:rsid w:val="00D84B67"/>
    <w:rsid w:val="00D86751"/>
    <w:rsid w:val="00D86AFF"/>
    <w:rsid w:val="00D902AB"/>
    <w:rsid w:val="00D913A2"/>
    <w:rsid w:val="00D924DF"/>
    <w:rsid w:val="00D93A23"/>
    <w:rsid w:val="00D94402"/>
    <w:rsid w:val="00DA187C"/>
    <w:rsid w:val="00DA1EDC"/>
    <w:rsid w:val="00DA4811"/>
    <w:rsid w:val="00DA63C3"/>
    <w:rsid w:val="00DA7075"/>
    <w:rsid w:val="00DB7100"/>
    <w:rsid w:val="00DC0322"/>
    <w:rsid w:val="00DC0CD2"/>
    <w:rsid w:val="00DC1E01"/>
    <w:rsid w:val="00DC24C0"/>
    <w:rsid w:val="00DD06F3"/>
    <w:rsid w:val="00DD0BDF"/>
    <w:rsid w:val="00DD0D3A"/>
    <w:rsid w:val="00DD2E82"/>
    <w:rsid w:val="00DE1A6F"/>
    <w:rsid w:val="00DE1BF5"/>
    <w:rsid w:val="00DE3181"/>
    <w:rsid w:val="00DE385A"/>
    <w:rsid w:val="00DE3CA0"/>
    <w:rsid w:val="00DE52B4"/>
    <w:rsid w:val="00DE6ACB"/>
    <w:rsid w:val="00DE77FD"/>
    <w:rsid w:val="00DF0140"/>
    <w:rsid w:val="00DF02D8"/>
    <w:rsid w:val="00DF0493"/>
    <w:rsid w:val="00DF57AD"/>
    <w:rsid w:val="00E051AF"/>
    <w:rsid w:val="00E05EE4"/>
    <w:rsid w:val="00E10B00"/>
    <w:rsid w:val="00E12BE0"/>
    <w:rsid w:val="00E12D03"/>
    <w:rsid w:val="00E138DB"/>
    <w:rsid w:val="00E162C6"/>
    <w:rsid w:val="00E205C2"/>
    <w:rsid w:val="00E24CCC"/>
    <w:rsid w:val="00E2508F"/>
    <w:rsid w:val="00E26C26"/>
    <w:rsid w:val="00E279B3"/>
    <w:rsid w:val="00E31596"/>
    <w:rsid w:val="00E31E33"/>
    <w:rsid w:val="00E32240"/>
    <w:rsid w:val="00E3433D"/>
    <w:rsid w:val="00E34F08"/>
    <w:rsid w:val="00E3785F"/>
    <w:rsid w:val="00E37973"/>
    <w:rsid w:val="00E41CF0"/>
    <w:rsid w:val="00E41DC5"/>
    <w:rsid w:val="00E4237A"/>
    <w:rsid w:val="00E42A72"/>
    <w:rsid w:val="00E42E9B"/>
    <w:rsid w:val="00E42F16"/>
    <w:rsid w:val="00E506C5"/>
    <w:rsid w:val="00E50B4C"/>
    <w:rsid w:val="00E50B7E"/>
    <w:rsid w:val="00E52FBD"/>
    <w:rsid w:val="00E54960"/>
    <w:rsid w:val="00E55084"/>
    <w:rsid w:val="00E561B8"/>
    <w:rsid w:val="00E622E2"/>
    <w:rsid w:val="00E625E9"/>
    <w:rsid w:val="00E62917"/>
    <w:rsid w:val="00E6484E"/>
    <w:rsid w:val="00E65183"/>
    <w:rsid w:val="00E66856"/>
    <w:rsid w:val="00E66ADB"/>
    <w:rsid w:val="00E67B33"/>
    <w:rsid w:val="00E728E6"/>
    <w:rsid w:val="00E73037"/>
    <w:rsid w:val="00E74848"/>
    <w:rsid w:val="00E74946"/>
    <w:rsid w:val="00E75214"/>
    <w:rsid w:val="00E83803"/>
    <w:rsid w:val="00E85B94"/>
    <w:rsid w:val="00E85CDB"/>
    <w:rsid w:val="00E85F81"/>
    <w:rsid w:val="00E92138"/>
    <w:rsid w:val="00E93A90"/>
    <w:rsid w:val="00E93AC4"/>
    <w:rsid w:val="00E93CC8"/>
    <w:rsid w:val="00E964E4"/>
    <w:rsid w:val="00E96DAC"/>
    <w:rsid w:val="00E9781A"/>
    <w:rsid w:val="00EA3472"/>
    <w:rsid w:val="00EA34BB"/>
    <w:rsid w:val="00EA472F"/>
    <w:rsid w:val="00EA4CB5"/>
    <w:rsid w:val="00EA504B"/>
    <w:rsid w:val="00EA5925"/>
    <w:rsid w:val="00EB1523"/>
    <w:rsid w:val="00EB2CB8"/>
    <w:rsid w:val="00EB3C06"/>
    <w:rsid w:val="00EB42D3"/>
    <w:rsid w:val="00EB6DDC"/>
    <w:rsid w:val="00EB72A1"/>
    <w:rsid w:val="00EB7818"/>
    <w:rsid w:val="00EC1155"/>
    <w:rsid w:val="00EC1BC6"/>
    <w:rsid w:val="00EC2B1C"/>
    <w:rsid w:val="00EC4D6D"/>
    <w:rsid w:val="00EC50C5"/>
    <w:rsid w:val="00EC5DC6"/>
    <w:rsid w:val="00EC706D"/>
    <w:rsid w:val="00ED0BA7"/>
    <w:rsid w:val="00ED7A09"/>
    <w:rsid w:val="00EE585B"/>
    <w:rsid w:val="00EE7321"/>
    <w:rsid w:val="00EE7D4F"/>
    <w:rsid w:val="00EF08A9"/>
    <w:rsid w:val="00EF1757"/>
    <w:rsid w:val="00EF250C"/>
    <w:rsid w:val="00EF3C57"/>
    <w:rsid w:val="00EF5548"/>
    <w:rsid w:val="00EF695B"/>
    <w:rsid w:val="00F038D8"/>
    <w:rsid w:val="00F045A7"/>
    <w:rsid w:val="00F06B47"/>
    <w:rsid w:val="00F0798D"/>
    <w:rsid w:val="00F10CED"/>
    <w:rsid w:val="00F10CFA"/>
    <w:rsid w:val="00F12EF2"/>
    <w:rsid w:val="00F13F26"/>
    <w:rsid w:val="00F157ED"/>
    <w:rsid w:val="00F16161"/>
    <w:rsid w:val="00F16D21"/>
    <w:rsid w:val="00F16FC0"/>
    <w:rsid w:val="00F22765"/>
    <w:rsid w:val="00F26AB4"/>
    <w:rsid w:val="00F26F8B"/>
    <w:rsid w:val="00F3118A"/>
    <w:rsid w:val="00F31803"/>
    <w:rsid w:val="00F338D4"/>
    <w:rsid w:val="00F369D3"/>
    <w:rsid w:val="00F378AA"/>
    <w:rsid w:val="00F4177C"/>
    <w:rsid w:val="00F45BB9"/>
    <w:rsid w:val="00F511AB"/>
    <w:rsid w:val="00F52BC5"/>
    <w:rsid w:val="00F55743"/>
    <w:rsid w:val="00F576E0"/>
    <w:rsid w:val="00F60B27"/>
    <w:rsid w:val="00F64ED6"/>
    <w:rsid w:val="00F70FAF"/>
    <w:rsid w:val="00F73284"/>
    <w:rsid w:val="00F74850"/>
    <w:rsid w:val="00F768DA"/>
    <w:rsid w:val="00F7694B"/>
    <w:rsid w:val="00F80B74"/>
    <w:rsid w:val="00F85DAA"/>
    <w:rsid w:val="00F86B6D"/>
    <w:rsid w:val="00F903DD"/>
    <w:rsid w:val="00F92CFA"/>
    <w:rsid w:val="00F9362B"/>
    <w:rsid w:val="00F94687"/>
    <w:rsid w:val="00F9478D"/>
    <w:rsid w:val="00F94AAE"/>
    <w:rsid w:val="00F95E01"/>
    <w:rsid w:val="00F960D0"/>
    <w:rsid w:val="00F969DF"/>
    <w:rsid w:val="00FA14DD"/>
    <w:rsid w:val="00FA29BE"/>
    <w:rsid w:val="00FA35D2"/>
    <w:rsid w:val="00FA4497"/>
    <w:rsid w:val="00FA5040"/>
    <w:rsid w:val="00FA6E8C"/>
    <w:rsid w:val="00FA7CD2"/>
    <w:rsid w:val="00FA7F14"/>
    <w:rsid w:val="00FB031A"/>
    <w:rsid w:val="00FB183A"/>
    <w:rsid w:val="00FB252A"/>
    <w:rsid w:val="00FB399D"/>
    <w:rsid w:val="00FC02EB"/>
    <w:rsid w:val="00FC081F"/>
    <w:rsid w:val="00FC13CA"/>
    <w:rsid w:val="00FC183C"/>
    <w:rsid w:val="00FC5444"/>
    <w:rsid w:val="00FC5A3B"/>
    <w:rsid w:val="00FD0A51"/>
    <w:rsid w:val="00FD0D1C"/>
    <w:rsid w:val="00FD6926"/>
    <w:rsid w:val="00FE111D"/>
    <w:rsid w:val="00FE5D50"/>
    <w:rsid w:val="00FE7C7B"/>
    <w:rsid w:val="00FF49CB"/>
    <w:rsid w:val="00FF4EC9"/>
    <w:rsid w:val="00FF6F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75ADC"/>
  <w15:docId w15:val="{31E7ECCC-9A40-4F64-88A4-215438B5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2D3"/>
  </w:style>
  <w:style w:type="paragraph" w:styleId="Heading1">
    <w:name w:val="heading 1"/>
    <w:basedOn w:val="Normal"/>
    <w:next w:val="Normal"/>
    <w:link w:val="Heading1Char"/>
    <w:qFormat/>
    <w:rsid w:val="00146F1A"/>
    <w:pPr>
      <w:keepNext/>
      <w:numPr>
        <w:numId w:val="1"/>
      </w:numPr>
      <w:spacing w:before="360" w:after="120" w:line="240" w:lineRule="auto"/>
      <w:jc w:val="both"/>
      <w:outlineLvl w:val="0"/>
    </w:pPr>
    <w:rPr>
      <w:rFonts w:ascii="Times New Roman" w:eastAsia="Times New Roman" w:hAnsi="Times New Roman" w:cs="Times New Roman"/>
      <w:b/>
      <w:smallCaps/>
      <w:sz w:val="24"/>
      <w:szCs w:val="20"/>
      <w:lang w:eastAsia="fr-BE"/>
    </w:rPr>
  </w:style>
  <w:style w:type="paragraph" w:styleId="Heading2">
    <w:name w:val="heading 2"/>
    <w:basedOn w:val="Normal"/>
    <w:next w:val="Normal"/>
    <w:link w:val="Heading2Char"/>
    <w:qFormat/>
    <w:rsid w:val="00551424"/>
    <w:pPr>
      <w:keepNext/>
      <w:numPr>
        <w:ilvl w:val="1"/>
        <w:numId w:val="1"/>
      </w:numPr>
      <w:spacing w:before="120" w:after="120" w:line="240" w:lineRule="auto"/>
      <w:jc w:val="both"/>
      <w:outlineLvl w:val="1"/>
    </w:pPr>
    <w:rPr>
      <w:rFonts w:ascii="Times New Roman" w:eastAsia="Times New Roman" w:hAnsi="Times New Roman" w:cs="Times New Roman"/>
      <w:b/>
      <w:sz w:val="24"/>
      <w:szCs w:val="20"/>
      <w:lang w:eastAsia="fr-BE"/>
    </w:rPr>
  </w:style>
  <w:style w:type="paragraph" w:styleId="Heading3">
    <w:name w:val="heading 3"/>
    <w:basedOn w:val="Normal"/>
    <w:next w:val="Normal"/>
    <w:link w:val="Heading3Char"/>
    <w:qFormat/>
    <w:rsid w:val="00551424"/>
    <w:pPr>
      <w:keepNext/>
      <w:numPr>
        <w:ilvl w:val="2"/>
        <w:numId w:val="1"/>
      </w:numPr>
      <w:spacing w:before="120" w:after="120" w:line="240" w:lineRule="auto"/>
      <w:jc w:val="both"/>
      <w:outlineLvl w:val="2"/>
    </w:pPr>
    <w:rPr>
      <w:rFonts w:ascii="Times New Roman" w:eastAsia="Times New Roman" w:hAnsi="Times New Roman" w:cs="Times New Roman"/>
      <w:i/>
      <w:sz w:val="24"/>
      <w:szCs w:val="20"/>
      <w:lang w:eastAsia="fr-BE"/>
    </w:rPr>
  </w:style>
  <w:style w:type="paragraph" w:styleId="Heading4">
    <w:name w:val="heading 4"/>
    <w:basedOn w:val="Normal"/>
    <w:next w:val="Normal"/>
    <w:link w:val="Heading4Char"/>
    <w:qFormat/>
    <w:rsid w:val="00551424"/>
    <w:pPr>
      <w:keepNext/>
      <w:numPr>
        <w:ilvl w:val="3"/>
        <w:numId w:val="1"/>
      </w:numPr>
      <w:spacing w:before="120" w:after="120" w:line="240" w:lineRule="auto"/>
      <w:jc w:val="both"/>
      <w:outlineLvl w:val="3"/>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F1A"/>
    <w:rPr>
      <w:rFonts w:ascii="Times New Roman" w:eastAsia="Times New Roman" w:hAnsi="Times New Roman" w:cs="Times New Roman"/>
      <w:b/>
      <w:smallCaps/>
      <w:sz w:val="24"/>
      <w:szCs w:val="20"/>
      <w:lang w:eastAsia="fr-BE"/>
    </w:rPr>
  </w:style>
  <w:style w:type="character" w:customStyle="1" w:styleId="Heading2Char">
    <w:name w:val="Heading 2 Char"/>
    <w:basedOn w:val="DefaultParagraphFont"/>
    <w:link w:val="Heading2"/>
    <w:rsid w:val="00551424"/>
    <w:rPr>
      <w:rFonts w:ascii="Times New Roman" w:eastAsia="Times New Roman" w:hAnsi="Times New Roman" w:cs="Times New Roman"/>
      <w:b/>
      <w:sz w:val="24"/>
      <w:szCs w:val="20"/>
      <w:lang w:eastAsia="fr-BE"/>
    </w:rPr>
  </w:style>
  <w:style w:type="character" w:customStyle="1" w:styleId="Heading3Char">
    <w:name w:val="Heading 3 Char"/>
    <w:basedOn w:val="DefaultParagraphFont"/>
    <w:link w:val="Heading3"/>
    <w:rsid w:val="00551424"/>
    <w:rPr>
      <w:rFonts w:ascii="Times New Roman" w:eastAsia="Times New Roman" w:hAnsi="Times New Roman" w:cs="Times New Roman"/>
      <w:i/>
      <w:sz w:val="24"/>
      <w:szCs w:val="20"/>
      <w:lang w:eastAsia="fr-BE"/>
    </w:rPr>
  </w:style>
  <w:style w:type="character" w:customStyle="1" w:styleId="Heading4Char">
    <w:name w:val="Heading 4 Char"/>
    <w:basedOn w:val="DefaultParagraphFont"/>
    <w:link w:val="Heading4"/>
    <w:rsid w:val="00551424"/>
    <w:rPr>
      <w:rFonts w:ascii="Times New Roman" w:eastAsia="Times New Roman" w:hAnsi="Times New Roman" w:cs="Times New Roman"/>
      <w:sz w:val="24"/>
      <w:szCs w:val="20"/>
      <w:lang w:eastAsia="fr-BE"/>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rsid w:val="00436F6E"/>
    <w:pPr>
      <w:ind w:left="720"/>
      <w:contextualSpacing/>
    </w:pPr>
  </w:style>
  <w:style w:type="paragraph" w:styleId="FootnoteText">
    <w:name w:val="footnote text"/>
    <w:basedOn w:val="Normal"/>
    <w:link w:val="FootnoteTextChar"/>
    <w:uiPriority w:val="99"/>
    <w:unhideWhenUsed/>
    <w:rsid w:val="004D76F9"/>
    <w:pPr>
      <w:spacing w:after="0" w:line="240" w:lineRule="auto"/>
    </w:pPr>
    <w:rPr>
      <w:sz w:val="20"/>
      <w:szCs w:val="20"/>
    </w:rPr>
  </w:style>
  <w:style w:type="character" w:customStyle="1" w:styleId="FootnoteTextChar">
    <w:name w:val="Footnote Text Char"/>
    <w:basedOn w:val="DefaultParagraphFont"/>
    <w:link w:val="FootnoteText"/>
    <w:uiPriority w:val="99"/>
    <w:rsid w:val="004D76F9"/>
    <w:rPr>
      <w:sz w:val="20"/>
      <w:szCs w:val="20"/>
    </w:rPr>
  </w:style>
  <w:style w:type="character" w:styleId="FootnoteReference">
    <w:name w:val="footnote reference"/>
    <w:basedOn w:val="DefaultParagraphFont"/>
    <w:uiPriority w:val="99"/>
    <w:semiHidden/>
    <w:unhideWhenUsed/>
    <w:rsid w:val="004D76F9"/>
    <w:rPr>
      <w:vertAlign w:val="superscript"/>
    </w:rPr>
  </w:style>
  <w:style w:type="character" w:styleId="CommentReference">
    <w:name w:val="annotation reference"/>
    <w:basedOn w:val="DefaultParagraphFont"/>
    <w:uiPriority w:val="99"/>
    <w:semiHidden/>
    <w:unhideWhenUsed/>
    <w:rsid w:val="00A21EEC"/>
    <w:rPr>
      <w:sz w:val="16"/>
      <w:szCs w:val="16"/>
    </w:rPr>
  </w:style>
  <w:style w:type="paragraph" w:styleId="CommentText">
    <w:name w:val="annotation text"/>
    <w:basedOn w:val="Normal"/>
    <w:link w:val="CommentTextChar"/>
    <w:uiPriority w:val="99"/>
    <w:unhideWhenUsed/>
    <w:rsid w:val="00A21EEC"/>
    <w:pPr>
      <w:spacing w:line="240" w:lineRule="auto"/>
    </w:pPr>
    <w:rPr>
      <w:sz w:val="20"/>
      <w:szCs w:val="20"/>
    </w:rPr>
  </w:style>
  <w:style w:type="character" w:customStyle="1" w:styleId="CommentTextChar">
    <w:name w:val="Comment Text Char"/>
    <w:basedOn w:val="DefaultParagraphFont"/>
    <w:link w:val="CommentText"/>
    <w:uiPriority w:val="99"/>
    <w:rsid w:val="00A21EEC"/>
    <w:rPr>
      <w:sz w:val="20"/>
      <w:szCs w:val="20"/>
    </w:rPr>
  </w:style>
  <w:style w:type="paragraph" w:styleId="CommentSubject">
    <w:name w:val="annotation subject"/>
    <w:basedOn w:val="CommentText"/>
    <w:next w:val="CommentText"/>
    <w:link w:val="CommentSubjectChar"/>
    <w:uiPriority w:val="99"/>
    <w:semiHidden/>
    <w:unhideWhenUsed/>
    <w:rsid w:val="00A21EEC"/>
    <w:rPr>
      <w:b/>
      <w:bCs/>
    </w:rPr>
  </w:style>
  <w:style w:type="character" w:customStyle="1" w:styleId="CommentSubjectChar">
    <w:name w:val="Comment Subject Char"/>
    <w:basedOn w:val="CommentTextChar"/>
    <w:link w:val="CommentSubject"/>
    <w:uiPriority w:val="99"/>
    <w:semiHidden/>
    <w:rsid w:val="00A21EEC"/>
    <w:rPr>
      <w:b/>
      <w:bCs/>
      <w:sz w:val="20"/>
      <w:szCs w:val="20"/>
    </w:rPr>
  </w:style>
  <w:style w:type="paragraph" w:styleId="BalloonText">
    <w:name w:val="Balloon Text"/>
    <w:basedOn w:val="Normal"/>
    <w:link w:val="BalloonTextChar"/>
    <w:uiPriority w:val="99"/>
    <w:semiHidden/>
    <w:unhideWhenUsed/>
    <w:rsid w:val="00A2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EC"/>
    <w:rPr>
      <w:rFonts w:ascii="Tahoma" w:hAnsi="Tahoma" w:cs="Tahoma"/>
      <w:sz w:val="16"/>
      <w:szCs w:val="16"/>
    </w:rPr>
  </w:style>
  <w:style w:type="paragraph" w:styleId="Header">
    <w:name w:val="header"/>
    <w:basedOn w:val="Normal"/>
    <w:link w:val="HeaderChar"/>
    <w:uiPriority w:val="99"/>
    <w:unhideWhenUsed/>
    <w:rsid w:val="00D81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D4"/>
  </w:style>
  <w:style w:type="paragraph" w:styleId="Footer">
    <w:name w:val="footer"/>
    <w:basedOn w:val="Normal"/>
    <w:link w:val="FooterChar"/>
    <w:uiPriority w:val="99"/>
    <w:unhideWhenUsed/>
    <w:rsid w:val="00D81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D4"/>
  </w:style>
  <w:style w:type="paragraph" w:styleId="TOCHeading">
    <w:name w:val="TOC Heading"/>
    <w:basedOn w:val="Heading1"/>
    <w:next w:val="Normal"/>
    <w:uiPriority w:val="39"/>
    <w:unhideWhenUsed/>
    <w:qFormat/>
    <w:rsid w:val="004D4B49"/>
    <w:pPr>
      <w:keepLines/>
      <w:numPr>
        <w:numId w:val="0"/>
      </w:numP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n-US" w:eastAsia="en-US"/>
    </w:rPr>
  </w:style>
  <w:style w:type="paragraph" w:styleId="TOC1">
    <w:name w:val="toc 1"/>
    <w:basedOn w:val="Normal"/>
    <w:next w:val="Normal"/>
    <w:autoRedefine/>
    <w:uiPriority w:val="39"/>
    <w:unhideWhenUsed/>
    <w:rsid w:val="004D4B49"/>
    <w:pPr>
      <w:spacing w:after="100"/>
    </w:pPr>
  </w:style>
  <w:style w:type="paragraph" w:styleId="TOC2">
    <w:name w:val="toc 2"/>
    <w:basedOn w:val="Normal"/>
    <w:next w:val="Normal"/>
    <w:autoRedefine/>
    <w:uiPriority w:val="39"/>
    <w:unhideWhenUsed/>
    <w:rsid w:val="004D4B49"/>
    <w:pPr>
      <w:spacing w:after="100"/>
      <w:ind w:left="220"/>
    </w:pPr>
  </w:style>
  <w:style w:type="paragraph" w:styleId="TOC3">
    <w:name w:val="toc 3"/>
    <w:basedOn w:val="Normal"/>
    <w:next w:val="Normal"/>
    <w:autoRedefine/>
    <w:uiPriority w:val="39"/>
    <w:unhideWhenUsed/>
    <w:rsid w:val="004D4B49"/>
    <w:pPr>
      <w:spacing w:after="100"/>
      <w:ind w:left="440"/>
    </w:pPr>
  </w:style>
  <w:style w:type="character" w:styleId="Hyperlink">
    <w:name w:val="Hyperlink"/>
    <w:basedOn w:val="DefaultParagraphFont"/>
    <w:uiPriority w:val="99"/>
    <w:unhideWhenUsed/>
    <w:rsid w:val="004D4B49"/>
    <w:rPr>
      <w:color w:val="0000FF" w:themeColor="hyperlink"/>
      <w:u w:val="single"/>
    </w:rPr>
  </w:style>
  <w:style w:type="paragraph" w:styleId="TOC4">
    <w:name w:val="toc 4"/>
    <w:basedOn w:val="Normal"/>
    <w:next w:val="Normal"/>
    <w:autoRedefine/>
    <w:uiPriority w:val="39"/>
    <w:unhideWhenUsed/>
    <w:rsid w:val="004D4B49"/>
    <w:pPr>
      <w:spacing w:after="100"/>
      <w:ind w:left="660"/>
    </w:pPr>
  </w:style>
  <w:style w:type="paragraph" w:customStyle="1" w:styleId="CM1">
    <w:name w:val="CM1"/>
    <w:basedOn w:val="Normal"/>
    <w:next w:val="Normal"/>
    <w:uiPriority w:val="99"/>
    <w:rsid w:val="00465BEE"/>
    <w:pPr>
      <w:autoSpaceDE w:val="0"/>
      <w:autoSpaceDN w:val="0"/>
      <w:adjustRightInd w:val="0"/>
      <w:spacing w:after="0" w:line="240" w:lineRule="auto"/>
    </w:pPr>
    <w:rPr>
      <w:rFonts w:ascii="EUAlbertina" w:hAnsi="EUAlbertina"/>
      <w:sz w:val="24"/>
      <w:szCs w:val="24"/>
    </w:rPr>
  </w:style>
  <w:style w:type="paragraph" w:customStyle="1" w:styleId="xxxmsonormal">
    <w:name w:val="x_xxmsonormal"/>
    <w:basedOn w:val="Normal"/>
    <w:rsid w:val="00465BEE"/>
    <w:pPr>
      <w:spacing w:after="0" w:line="240" w:lineRule="auto"/>
    </w:pPr>
    <w:rPr>
      <w:rFonts w:ascii="Times New Roman" w:hAnsi="Times New Roman" w:cs="Times New Roman"/>
      <w:sz w:val="24"/>
      <w:szCs w:val="24"/>
      <w:lang w:eastAsia="en-GB"/>
    </w:rPr>
  </w:style>
  <w:style w:type="character" w:customStyle="1" w:styleId="DeltaViewInsertion">
    <w:name w:val="DeltaView Insertion"/>
    <w:uiPriority w:val="99"/>
    <w:rsid w:val="00465BEE"/>
    <w:rPr>
      <w:b/>
      <w:i/>
      <w:color w:val="000000"/>
    </w:rPr>
  </w:style>
  <w:style w:type="paragraph" w:customStyle="1" w:styleId="Default">
    <w:name w:val="Default"/>
    <w:rsid w:val="00465BEE"/>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615A1C"/>
    <w:pPr>
      <w:spacing w:after="0" w:line="240" w:lineRule="auto"/>
    </w:pPr>
  </w:style>
  <w:style w:type="paragraph" w:customStyle="1" w:styleId="Briefingtext">
    <w:name w:val="Briefing text"/>
    <w:basedOn w:val="Normal"/>
    <w:link w:val="BriefingtextChar"/>
    <w:rsid w:val="00100002"/>
    <w:pPr>
      <w:spacing w:after="240" w:line="240" w:lineRule="auto"/>
      <w:jc w:val="both"/>
    </w:pPr>
    <w:rPr>
      <w:rFonts w:ascii="Arial" w:eastAsia="Times New Roman" w:hAnsi="Arial" w:cs="Arial"/>
      <w:szCs w:val="24"/>
    </w:rPr>
  </w:style>
  <w:style w:type="character" w:customStyle="1" w:styleId="BriefingtextChar">
    <w:name w:val="Briefing text Char"/>
    <w:link w:val="Briefingtext"/>
    <w:rsid w:val="00100002"/>
    <w:rPr>
      <w:rFonts w:ascii="Arial" w:eastAsia="Times New Roman" w:hAnsi="Arial" w:cs="Arial"/>
      <w:szCs w:val="24"/>
    </w:rPr>
  </w:style>
  <w:style w:type="paragraph" w:styleId="NormalWeb">
    <w:name w:val="Normal (Web)"/>
    <w:basedOn w:val="Normal"/>
    <w:uiPriority w:val="99"/>
    <w:semiHidden/>
    <w:unhideWhenUsed/>
    <w:rsid w:val="002F7529"/>
    <w:pPr>
      <w:spacing w:after="0" w:line="240" w:lineRule="auto"/>
    </w:pPr>
    <w:rPr>
      <w:rFonts w:ascii="Times New Roman" w:hAnsi="Times New Roman" w:cs="Times New Roman"/>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basedOn w:val="DefaultParagraphFont"/>
    <w:link w:val="ListParagraph"/>
    <w:uiPriority w:val="34"/>
    <w:qFormat/>
    <w:locked/>
    <w:rsid w:val="00450635"/>
  </w:style>
  <w:style w:type="character" w:styleId="FollowedHyperlink">
    <w:name w:val="FollowedHyperlink"/>
    <w:basedOn w:val="DefaultParagraphFont"/>
    <w:uiPriority w:val="99"/>
    <w:semiHidden/>
    <w:unhideWhenUsed/>
    <w:rsid w:val="00125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1858">
      <w:bodyDiv w:val="1"/>
      <w:marLeft w:val="0"/>
      <w:marRight w:val="0"/>
      <w:marTop w:val="0"/>
      <w:marBottom w:val="0"/>
      <w:divBdr>
        <w:top w:val="none" w:sz="0" w:space="0" w:color="auto"/>
        <w:left w:val="none" w:sz="0" w:space="0" w:color="auto"/>
        <w:bottom w:val="none" w:sz="0" w:space="0" w:color="auto"/>
        <w:right w:val="none" w:sz="0" w:space="0" w:color="auto"/>
      </w:divBdr>
    </w:div>
    <w:div w:id="274948960">
      <w:bodyDiv w:val="1"/>
      <w:marLeft w:val="0"/>
      <w:marRight w:val="0"/>
      <w:marTop w:val="0"/>
      <w:marBottom w:val="0"/>
      <w:divBdr>
        <w:top w:val="none" w:sz="0" w:space="0" w:color="auto"/>
        <w:left w:val="none" w:sz="0" w:space="0" w:color="auto"/>
        <w:bottom w:val="none" w:sz="0" w:space="0" w:color="auto"/>
        <w:right w:val="none" w:sz="0" w:space="0" w:color="auto"/>
      </w:divBdr>
    </w:div>
    <w:div w:id="278612360">
      <w:bodyDiv w:val="1"/>
      <w:marLeft w:val="0"/>
      <w:marRight w:val="0"/>
      <w:marTop w:val="0"/>
      <w:marBottom w:val="0"/>
      <w:divBdr>
        <w:top w:val="none" w:sz="0" w:space="0" w:color="auto"/>
        <w:left w:val="none" w:sz="0" w:space="0" w:color="auto"/>
        <w:bottom w:val="none" w:sz="0" w:space="0" w:color="auto"/>
        <w:right w:val="none" w:sz="0" w:space="0" w:color="auto"/>
      </w:divBdr>
    </w:div>
    <w:div w:id="502550353">
      <w:bodyDiv w:val="1"/>
      <w:marLeft w:val="0"/>
      <w:marRight w:val="0"/>
      <w:marTop w:val="0"/>
      <w:marBottom w:val="0"/>
      <w:divBdr>
        <w:top w:val="none" w:sz="0" w:space="0" w:color="auto"/>
        <w:left w:val="none" w:sz="0" w:space="0" w:color="auto"/>
        <w:bottom w:val="none" w:sz="0" w:space="0" w:color="auto"/>
        <w:right w:val="none" w:sz="0" w:space="0" w:color="auto"/>
      </w:divBdr>
    </w:div>
    <w:div w:id="594704884">
      <w:bodyDiv w:val="1"/>
      <w:marLeft w:val="0"/>
      <w:marRight w:val="0"/>
      <w:marTop w:val="0"/>
      <w:marBottom w:val="0"/>
      <w:divBdr>
        <w:top w:val="none" w:sz="0" w:space="0" w:color="auto"/>
        <w:left w:val="none" w:sz="0" w:space="0" w:color="auto"/>
        <w:bottom w:val="none" w:sz="0" w:space="0" w:color="auto"/>
        <w:right w:val="none" w:sz="0" w:space="0" w:color="auto"/>
      </w:divBdr>
    </w:div>
    <w:div w:id="676882697">
      <w:bodyDiv w:val="1"/>
      <w:marLeft w:val="0"/>
      <w:marRight w:val="0"/>
      <w:marTop w:val="0"/>
      <w:marBottom w:val="0"/>
      <w:divBdr>
        <w:top w:val="none" w:sz="0" w:space="0" w:color="auto"/>
        <w:left w:val="none" w:sz="0" w:space="0" w:color="auto"/>
        <w:bottom w:val="none" w:sz="0" w:space="0" w:color="auto"/>
        <w:right w:val="none" w:sz="0" w:space="0" w:color="auto"/>
      </w:divBdr>
      <w:divsChild>
        <w:div w:id="1838301943">
          <w:marLeft w:val="0"/>
          <w:marRight w:val="0"/>
          <w:marTop w:val="150"/>
          <w:marBottom w:val="0"/>
          <w:divBdr>
            <w:top w:val="none" w:sz="0" w:space="0" w:color="auto"/>
            <w:left w:val="none" w:sz="0" w:space="0" w:color="auto"/>
            <w:bottom w:val="none" w:sz="0" w:space="0" w:color="auto"/>
            <w:right w:val="none" w:sz="0" w:space="0" w:color="auto"/>
          </w:divBdr>
          <w:divsChild>
            <w:div w:id="221451275">
              <w:marLeft w:val="-225"/>
              <w:marRight w:val="-375"/>
              <w:marTop w:val="0"/>
              <w:marBottom w:val="0"/>
              <w:divBdr>
                <w:top w:val="none" w:sz="0" w:space="0" w:color="auto"/>
                <w:left w:val="none" w:sz="0" w:space="0" w:color="auto"/>
                <w:bottom w:val="none" w:sz="0" w:space="0" w:color="auto"/>
                <w:right w:val="none" w:sz="0" w:space="0" w:color="auto"/>
              </w:divBdr>
              <w:divsChild>
                <w:div w:id="734425890">
                  <w:marLeft w:val="0"/>
                  <w:marRight w:val="0"/>
                  <w:marTop w:val="0"/>
                  <w:marBottom w:val="0"/>
                  <w:divBdr>
                    <w:top w:val="none" w:sz="0" w:space="0" w:color="auto"/>
                    <w:left w:val="none" w:sz="0" w:space="0" w:color="auto"/>
                    <w:bottom w:val="none" w:sz="0" w:space="0" w:color="auto"/>
                    <w:right w:val="none" w:sz="0" w:space="0" w:color="auto"/>
                  </w:divBdr>
                  <w:divsChild>
                    <w:div w:id="151138769">
                      <w:marLeft w:val="-225"/>
                      <w:marRight w:val="-375"/>
                      <w:marTop w:val="0"/>
                      <w:marBottom w:val="0"/>
                      <w:divBdr>
                        <w:top w:val="none" w:sz="0" w:space="0" w:color="auto"/>
                        <w:left w:val="none" w:sz="0" w:space="0" w:color="auto"/>
                        <w:bottom w:val="none" w:sz="0" w:space="0" w:color="auto"/>
                        <w:right w:val="none" w:sz="0" w:space="0" w:color="auto"/>
                      </w:divBdr>
                      <w:divsChild>
                        <w:div w:id="633026270">
                          <w:marLeft w:val="0"/>
                          <w:marRight w:val="0"/>
                          <w:marTop w:val="0"/>
                          <w:marBottom w:val="0"/>
                          <w:divBdr>
                            <w:top w:val="none" w:sz="0" w:space="0" w:color="auto"/>
                            <w:left w:val="none" w:sz="0" w:space="0" w:color="auto"/>
                            <w:bottom w:val="none" w:sz="0" w:space="0" w:color="auto"/>
                            <w:right w:val="none" w:sz="0" w:space="0" w:color="auto"/>
                          </w:divBdr>
                          <w:divsChild>
                            <w:div w:id="1541629303">
                              <w:marLeft w:val="0"/>
                              <w:marRight w:val="0"/>
                              <w:marTop w:val="0"/>
                              <w:marBottom w:val="0"/>
                              <w:divBdr>
                                <w:top w:val="none" w:sz="0" w:space="0" w:color="auto"/>
                                <w:left w:val="none" w:sz="0" w:space="0" w:color="auto"/>
                                <w:bottom w:val="none" w:sz="0" w:space="0" w:color="auto"/>
                                <w:right w:val="none" w:sz="0" w:space="0" w:color="auto"/>
                              </w:divBdr>
                              <w:divsChild>
                                <w:div w:id="1868248554">
                                  <w:marLeft w:val="0"/>
                                  <w:marRight w:val="0"/>
                                  <w:marTop w:val="0"/>
                                  <w:marBottom w:val="0"/>
                                  <w:divBdr>
                                    <w:top w:val="none" w:sz="0" w:space="0" w:color="auto"/>
                                    <w:left w:val="none" w:sz="0" w:space="0" w:color="auto"/>
                                    <w:bottom w:val="none" w:sz="0" w:space="0" w:color="auto"/>
                                    <w:right w:val="none" w:sz="0" w:space="0" w:color="auto"/>
                                  </w:divBdr>
                                  <w:divsChild>
                                    <w:div w:id="563029274">
                                      <w:marLeft w:val="0"/>
                                      <w:marRight w:val="0"/>
                                      <w:marTop w:val="0"/>
                                      <w:marBottom w:val="0"/>
                                      <w:divBdr>
                                        <w:top w:val="single" w:sz="2" w:space="0" w:color="auto"/>
                                        <w:left w:val="single" w:sz="2" w:space="0" w:color="auto"/>
                                        <w:bottom w:val="single" w:sz="2" w:space="0" w:color="auto"/>
                                        <w:right w:val="single" w:sz="2" w:space="0" w:color="auto"/>
                                      </w:divBdr>
                                      <w:divsChild>
                                        <w:div w:id="1086727778">
                                          <w:marLeft w:val="0"/>
                                          <w:marRight w:val="0"/>
                                          <w:marTop w:val="0"/>
                                          <w:marBottom w:val="0"/>
                                          <w:divBdr>
                                            <w:top w:val="none" w:sz="0" w:space="0" w:color="auto"/>
                                            <w:left w:val="none" w:sz="0" w:space="0" w:color="auto"/>
                                            <w:bottom w:val="none" w:sz="0" w:space="0" w:color="auto"/>
                                            <w:right w:val="none" w:sz="0" w:space="0" w:color="auto"/>
                                          </w:divBdr>
                                          <w:divsChild>
                                            <w:div w:id="628898044">
                                              <w:marLeft w:val="0"/>
                                              <w:marRight w:val="0"/>
                                              <w:marTop w:val="0"/>
                                              <w:marBottom w:val="0"/>
                                              <w:divBdr>
                                                <w:top w:val="none" w:sz="0" w:space="0" w:color="auto"/>
                                                <w:left w:val="none" w:sz="0" w:space="0" w:color="auto"/>
                                                <w:bottom w:val="none" w:sz="0" w:space="0" w:color="auto"/>
                                                <w:right w:val="none" w:sz="0" w:space="0" w:color="auto"/>
                                              </w:divBdr>
                                              <w:divsChild>
                                                <w:div w:id="2003850667">
                                                  <w:marLeft w:val="-225"/>
                                                  <w:marRight w:val="-375"/>
                                                  <w:marTop w:val="0"/>
                                                  <w:marBottom w:val="0"/>
                                                  <w:divBdr>
                                                    <w:top w:val="none" w:sz="0" w:space="0" w:color="auto"/>
                                                    <w:left w:val="none" w:sz="0" w:space="0" w:color="auto"/>
                                                    <w:bottom w:val="none" w:sz="0" w:space="0" w:color="auto"/>
                                                    <w:right w:val="none" w:sz="0" w:space="0" w:color="auto"/>
                                                  </w:divBdr>
                                                  <w:divsChild>
                                                    <w:div w:id="909199114">
                                                      <w:marLeft w:val="0"/>
                                                      <w:marRight w:val="0"/>
                                                      <w:marTop w:val="0"/>
                                                      <w:marBottom w:val="0"/>
                                                      <w:divBdr>
                                                        <w:top w:val="none" w:sz="0" w:space="0" w:color="auto"/>
                                                        <w:left w:val="none" w:sz="0" w:space="0" w:color="auto"/>
                                                        <w:bottom w:val="none" w:sz="0" w:space="0" w:color="auto"/>
                                                        <w:right w:val="none" w:sz="0" w:space="0" w:color="auto"/>
                                                      </w:divBdr>
                                                      <w:divsChild>
                                                        <w:div w:id="2068793180">
                                                          <w:marLeft w:val="0"/>
                                                          <w:marRight w:val="0"/>
                                                          <w:marTop w:val="0"/>
                                                          <w:marBottom w:val="0"/>
                                                          <w:divBdr>
                                                            <w:top w:val="none" w:sz="0" w:space="0" w:color="auto"/>
                                                            <w:left w:val="none" w:sz="0" w:space="0" w:color="auto"/>
                                                            <w:bottom w:val="none" w:sz="0" w:space="0" w:color="auto"/>
                                                            <w:right w:val="none" w:sz="0" w:space="0" w:color="auto"/>
                                                          </w:divBdr>
                                                          <w:divsChild>
                                                            <w:div w:id="841548273">
                                                              <w:marLeft w:val="0"/>
                                                              <w:marRight w:val="0"/>
                                                              <w:marTop w:val="0"/>
                                                              <w:marBottom w:val="0"/>
                                                              <w:divBdr>
                                                                <w:top w:val="none" w:sz="0" w:space="0" w:color="auto"/>
                                                                <w:left w:val="none" w:sz="0" w:space="0" w:color="auto"/>
                                                                <w:bottom w:val="none" w:sz="0" w:space="0" w:color="auto"/>
                                                                <w:right w:val="none" w:sz="0" w:space="0" w:color="auto"/>
                                                              </w:divBdr>
                                                              <w:divsChild>
                                                                <w:div w:id="14041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283772">
      <w:bodyDiv w:val="1"/>
      <w:marLeft w:val="0"/>
      <w:marRight w:val="0"/>
      <w:marTop w:val="0"/>
      <w:marBottom w:val="0"/>
      <w:divBdr>
        <w:top w:val="none" w:sz="0" w:space="0" w:color="auto"/>
        <w:left w:val="none" w:sz="0" w:space="0" w:color="auto"/>
        <w:bottom w:val="none" w:sz="0" w:space="0" w:color="auto"/>
        <w:right w:val="none" w:sz="0" w:space="0" w:color="auto"/>
      </w:divBdr>
    </w:div>
    <w:div w:id="1268460515">
      <w:bodyDiv w:val="1"/>
      <w:marLeft w:val="0"/>
      <w:marRight w:val="0"/>
      <w:marTop w:val="0"/>
      <w:marBottom w:val="0"/>
      <w:divBdr>
        <w:top w:val="none" w:sz="0" w:space="0" w:color="auto"/>
        <w:left w:val="none" w:sz="0" w:space="0" w:color="auto"/>
        <w:bottom w:val="none" w:sz="0" w:space="0" w:color="auto"/>
        <w:right w:val="none" w:sz="0" w:space="0" w:color="auto"/>
      </w:divBdr>
    </w:div>
    <w:div w:id="1556116441">
      <w:bodyDiv w:val="1"/>
      <w:marLeft w:val="0"/>
      <w:marRight w:val="0"/>
      <w:marTop w:val="0"/>
      <w:marBottom w:val="0"/>
      <w:divBdr>
        <w:top w:val="none" w:sz="0" w:space="0" w:color="auto"/>
        <w:left w:val="none" w:sz="0" w:space="0" w:color="auto"/>
        <w:bottom w:val="none" w:sz="0" w:space="0" w:color="auto"/>
        <w:right w:val="none" w:sz="0" w:space="0" w:color="auto"/>
      </w:divBdr>
    </w:div>
    <w:div w:id="1820151384">
      <w:bodyDiv w:val="1"/>
      <w:marLeft w:val="0"/>
      <w:marRight w:val="0"/>
      <w:marTop w:val="0"/>
      <w:marBottom w:val="0"/>
      <w:divBdr>
        <w:top w:val="none" w:sz="0" w:space="0" w:color="auto"/>
        <w:left w:val="none" w:sz="0" w:space="0" w:color="auto"/>
        <w:bottom w:val="none" w:sz="0" w:space="0" w:color="auto"/>
        <w:right w:val="none" w:sz="0" w:space="0" w:color="auto"/>
      </w:divBdr>
    </w:div>
    <w:div w:id="21301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c.europa.eu/research/participants/data/ref/h2020/wp/2018-2020/main/h2020-wp1820-energy_en.pdf"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managenergy.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ergy/en/financing-energy-efficiency/sustainable-energy-investment-for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52016SC0414&amp;from=EN" TargetMode="External"/><Relationship Id="rId13" Type="http://schemas.openxmlformats.org/officeDocument/2006/relationships/hyperlink" Target="http://www.kredex.ee/en/apartment-association/" TargetMode="External"/><Relationship Id="rId18" Type="http://schemas.openxmlformats.org/officeDocument/2006/relationships/hyperlink" Target="https://www.london.gov.uk/what-we-do/environment/energy/energy-buildings/refit/what-refit-london" TargetMode="External"/><Relationship Id="rId26" Type="http://schemas.openxmlformats.org/officeDocument/2006/relationships/hyperlink" Target="https://ec.europa.eu/info/sites/info/files/better-regulation-guidelines-stakeholder-consultation.pdf" TargetMode="External"/><Relationship Id="rId3" Type="http://schemas.openxmlformats.org/officeDocument/2006/relationships/hyperlink" Target="https://deep.eefig.eu/" TargetMode="External"/><Relationship Id="rId21" Type="http://schemas.openxmlformats.org/officeDocument/2006/relationships/hyperlink" Target="http://www.gre-liege.be/renowatt/25/renowatt.html" TargetMode="External"/><Relationship Id="rId7" Type="http://schemas.openxmlformats.org/officeDocument/2006/relationships/hyperlink" Target="https://ec.europa.eu/energy/sites/ener/files/documents/2014_article4_en_denmark.pdf" TargetMode="External"/><Relationship Id="rId12" Type="http://schemas.openxmlformats.org/officeDocument/2006/relationships/hyperlink" Target="http://www.vipa.lt/page/dnmfen" TargetMode="External"/><Relationship Id="rId17" Type="http://schemas.openxmlformats.org/officeDocument/2006/relationships/hyperlink" Target="http://www.escolimburg2020.be/en" TargetMode="External"/><Relationship Id="rId25" Type="http://schemas.openxmlformats.org/officeDocument/2006/relationships/hyperlink" Target="http://eiah.eib.org/" TargetMode="External"/><Relationship Id="rId2" Type="http://schemas.openxmlformats.org/officeDocument/2006/relationships/hyperlink" Target="https://ec.europa.eu/jrc/en/publication/eur-scientific-and-technical-research-reports/overcoming-split-incentive-barrier-building-sector" TargetMode="External"/><Relationship Id="rId16" Type="http://schemas.openxmlformats.org/officeDocument/2006/relationships/hyperlink" Target="http://www.eib.org/en/products/blending/pf4ee/index.htm" TargetMode="External"/><Relationship Id="rId20" Type="http://schemas.openxmlformats.org/officeDocument/2006/relationships/hyperlink" Target="https://ec.europa.eu/energy/intelligent/projects/en/projects/2020together" TargetMode="External"/><Relationship Id="rId1" Type="http://schemas.openxmlformats.org/officeDocument/2006/relationships/hyperlink" Target="http://bpie.eu/wp-content/uploads/2017/01/Building-Passport-Report_2nd-edition.pdf" TargetMode="External"/><Relationship Id="rId6" Type="http://schemas.openxmlformats.org/officeDocument/2006/relationships/hyperlink" Target="http://europa.eu/rapid/press-release_IP-18-4229_en.htm" TargetMode="External"/><Relationship Id="rId11" Type="http://schemas.openxmlformats.org/officeDocument/2006/relationships/hyperlink" Target="http://sharex.lv/en/latvian-baltic-energy-efficiency-facility-labeef" TargetMode="External"/><Relationship Id="rId24" Type="http://schemas.openxmlformats.org/officeDocument/2006/relationships/hyperlink" Target="https://www.fi-compass.eu/" TargetMode="External"/><Relationship Id="rId5" Type="http://schemas.openxmlformats.org/officeDocument/2006/relationships/hyperlink" Target="https://eur-lex.europa.eu/legal-content/EN/TXT/?qid=1535361114906&amp;uri=CELEX:52016SC0404" TargetMode="External"/><Relationship Id="rId15" Type="http://schemas.openxmlformats.org/officeDocument/2006/relationships/hyperlink" Target="http://www.slovseff.eu/index.php/en/" TargetMode="External"/><Relationship Id="rId23" Type="http://schemas.openxmlformats.org/officeDocument/2006/relationships/hyperlink" Target="https://www.pass-renovation.picardie.fr/" TargetMode="External"/><Relationship Id="rId28" Type="http://schemas.openxmlformats.org/officeDocument/2006/relationships/hyperlink" Target="https://ec.europa.eu/energy/sites/ener/files/documents/5_en_autre_document_travail_service_part1_v4.pdf" TargetMode="External"/><Relationship Id="rId10" Type="http://schemas.openxmlformats.org/officeDocument/2006/relationships/hyperlink" Target="http://www.padovafit.it/english/" TargetMode="External"/><Relationship Id="rId19" Type="http://schemas.openxmlformats.org/officeDocument/2006/relationships/hyperlink" Target="http://www.eib.org/attachments/documents/elena-completed-eol-en.pdf" TargetMode="External"/><Relationship Id="rId4" Type="http://schemas.openxmlformats.org/officeDocument/2006/relationships/hyperlink" Target="http://www.eefig.eu/index.php/underwriting-toolkit" TargetMode="External"/><Relationship Id="rId9" Type="http://schemas.openxmlformats.org/officeDocument/2006/relationships/hyperlink" Target="http://www.buildup.eu/en/skills" TargetMode="External"/><Relationship Id="rId14" Type="http://schemas.openxmlformats.org/officeDocument/2006/relationships/hyperlink" Target="https://www.kfw.de/inlandsfoerderung/Privatpersonen/Bestandsimmobilie/" TargetMode="External"/><Relationship Id="rId22" Type="http://schemas.openxmlformats.org/officeDocument/2006/relationships/hyperlink" Target="http://www.energiespositif.fr/" TargetMode="External"/><Relationship Id="rId27" Type="http://schemas.openxmlformats.org/officeDocument/2006/relationships/hyperlink" Target="https://www.gov.uk/government/publications/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00DBB49-1F24-480F-B6C5-A32962D3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8440</Words>
  <Characters>48110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Garcia</dc:creator>
  <cp:lastModifiedBy>REHVA</cp:lastModifiedBy>
  <cp:revision>8</cp:revision>
  <cp:lastPrinted>2018-05-04T12:39:00Z</cp:lastPrinted>
  <dcterms:created xsi:type="dcterms:W3CDTF">2018-09-13T10:09:00Z</dcterms:created>
  <dcterms:modified xsi:type="dcterms:W3CDTF">2018-10-10T09:38:00Z</dcterms:modified>
</cp:coreProperties>
</file>